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E039" w14:textId="376603C2" w:rsidR="00564F57" w:rsidRPr="00564F57" w:rsidRDefault="00564F57" w:rsidP="00564F57">
      <w:pPr>
        <w:spacing w:after="0" w:line="360" w:lineRule="auto"/>
        <w:jc w:val="center"/>
        <w:rPr>
          <w:rFonts w:ascii="Perpetua" w:hAnsi="Perpetua"/>
          <w:b/>
          <w:bCs/>
          <w:sz w:val="24"/>
          <w:szCs w:val="24"/>
          <w:lang w:val="es-CU"/>
        </w:rPr>
      </w:pPr>
      <w:r w:rsidRPr="00564F57">
        <w:rPr>
          <w:rFonts w:ascii="Perpetua" w:hAnsi="Perpetua"/>
          <w:b/>
          <w:bCs/>
          <w:noProof/>
          <w:sz w:val="24"/>
          <w:szCs w:val="24"/>
          <w:lang w:val="es-CU"/>
        </w:rPr>
        <w:drawing>
          <wp:inline distT="0" distB="0" distL="0" distR="0" wp14:anchorId="24751452" wp14:editId="699294DE">
            <wp:extent cx="4968875" cy="713105"/>
            <wp:effectExtent l="0" t="0" r="3175" b="0"/>
            <wp:docPr id="480441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8875" cy="713105"/>
                    </a:xfrm>
                    <a:prstGeom prst="rect">
                      <a:avLst/>
                    </a:prstGeom>
                    <a:noFill/>
                  </pic:spPr>
                </pic:pic>
              </a:graphicData>
            </a:graphic>
          </wp:inline>
        </w:drawing>
      </w:r>
    </w:p>
    <w:p w14:paraId="457E6A12" w14:textId="77777777" w:rsidR="00564F57" w:rsidRPr="00564F57" w:rsidRDefault="00564F57" w:rsidP="00564F57">
      <w:pPr>
        <w:spacing w:after="0" w:line="360" w:lineRule="auto"/>
        <w:jc w:val="center"/>
        <w:rPr>
          <w:rFonts w:ascii="Perpetua" w:hAnsi="Perpetua"/>
          <w:b/>
          <w:bCs/>
          <w:sz w:val="24"/>
          <w:szCs w:val="24"/>
          <w:lang w:val="es-CU"/>
        </w:rPr>
      </w:pPr>
    </w:p>
    <w:p w14:paraId="33EE6B04" w14:textId="3B6C5179" w:rsidR="00C00849" w:rsidRPr="00564F57" w:rsidRDefault="00564F57" w:rsidP="00564F57">
      <w:pPr>
        <w:spacing w:after="0" w:line="360" w:lineRule="auto"/>
        <w:jc w:val="center"/>
        <w:rPr>
          <w:rFonts w:ascii="Perpetua" w:hAnsi="Perpetua"/>
          <w:b/>
          <w:bCs/>
          <w:sz w:val="24"/>
          <w:szCs w:val="24"/>
          <w:lang w:val="es-CU"/>
        </w:rPr>
      </w:pPr>
      <w:r w:rsidRPr="00564F57">
        <w:rPr>
          <w:rFonts w:ascii="Perpetua" w:hAnsi="Perpetua"/>
          <w:b/>
          <w:bCs/>
          <w:sz w:val="24"/>
          <w:szCs w:val="24"/>
          <w:lang w:val="es-CU"/>
        </w:rPr>
        <w:t>DIFERENCIAS ENTRE EL LÍQUIDO CEFALORRAQUÍDEO NORMAL Y EL AFECTADO POR EL SÍNDROME NEUROLÓGICO AISLADO</w:t>
      </w:r>
    </w:p>
    <w:p w14:paraId="67288FD1" w14:textId="3D97FE2F" w:rsidR="00C00849" w:rsidRPr="00564F57" w:rsidRDefault="00564F57" w:rsidP="00564F57">
      <w:pPr>
        <w:spacing w:after="0" w:line="360" w:lineRule="auto"/>
        <w:jc w:val="center"/>
        <w:rPr>
          <w:rFonts w:ascii="Perpetua" w:hAnsi="Perpetua"/>
          <w:sz w:val="24"/>
          <w:szCs w:val="24"/>
          <w:lang w:val="en-US"/>
        </w:rPr>
      </w:pPr>
      <w:r w:rsidRPr="00564F57">
        <w:rPr>
          <w:rFonts w:ascii="Perpetua" w:hAnsi="Perpetua"/>
          <w:sz w:val="24"/>
          <w:szCs w:val="24"/>
          <w:lang w:val="en-US"/>
        </w:rPr>
        <w:t>DIFFERENCES BETWEEN NORMAL CEREBROSPINAL FLUID AND THAT AFFECTED BY NEUROLOGICALLY ISOLATED SYNDROME</w:t>
      </w:r>
    </w:p>
    <w:p w14:paraId="26F57B13" w14:textId="77777777" w:rsidR="00144AF9" w:rsidRDefault="00144AF9" w:rsidP="00564F57">
      <w:pPr>
        <w:pStyle w:val="my-0"/>
        <w:spacing w:before="0" w:beforeAutospacing="0" w:after="0" w:afterAutospacing="0" w:line="360" w:lineRule="auto"/>
        <w:jc w:val="both"/>
        <w:rPr>
          <w:rFonts w:ascii="Perpetua" w:hAnsi="Perpetua"/>
          <w:lang w:val="en-US"/>
        </w:rPr>
      </w:pPr>
    </w:p>
    <w:p w14:paraId="2894A117" w14:textId="10083C14" w:rsidR="00564F57" w:rsidRPr="00564F57" w:rsidRDefault="00564F57" w:rsidP="00564F57">
      <w:pPr>
        <w:pStyle w:val="my-0"/>
        <w:spacing w:before="0" w:beforeAutospacing="0" w:after="0" w:afterAutospacing="0" w:line="360" w:lineRule="auto"/>
        <w:jc w:val="both"/>
        <w:rPr>
          <w:rFonts w:ascii="Perpetua" w:hAnsi="Perpetua"/>
        </w:rPr>
      </w:pPr>
      <w:r w:rsidRPr="00564F57">
        <w:rPr>
          <w:rFonts w:ascii="Perpetua" w:hAnsi="Perpetua"/>
        </w:rPr>
        <w:t>Eneida Barrios Lamoth</w:t>
      </w:r>
      <w:r w:rsidRPr="00564F57">
        <w:rPr>
          <w:rFonts w:ascii="Perpetua" w:hAnsi="Perpetua"/>
          <w:vertAlign w:val="superscript"/>
        </w:rPr>
        <w:t>1</w:t>
      </w:r>
      <w:r w:rsidRPr="00564F57">
        <w:rPr>
          <w:rFonts w:ascii="Perpetua" w:hAnsi="Perpetua"/>
        </w:rPr>
        <w:t xml:space="preserve"> </w:t>
      </w:r>
      <w:hyperlink r:id="rId6" w:history="1">
        <w:r w:rsidRPr="00564F57">
          <w:rPr>
            <w:rStyle w:val="Hipervnculo"/>
            <w:rFonts w:ascii="Perpetua" w:hAnsi="Perpetua"/>
          </w:rPr>
          <w:t>https://orcid.org/0000-0002-2774-9930</w:t>
        </w:r>
      </w:hyperlink>
      <w:r w:rsidRPr="00564F57">
        <w:rPr>
          <w:rFonts w:ascii="Perpetua" w:hAnsi="Perpetua"/>
        </w:rPr>
        <w:t xml:space="preserve"> </w:t>
      </w:r>
    </w:p>
    <w:p w14:paraId="68F4C0CD" w14:textId="77777777" w:rsidR="00564F57" w:rsidRPr="00564F57" w:rsidRDefault="00564F57" w:rsidP="00564F57">
      <w:pPr>
        <w:pStyle w:val="my-0"/>
        <w:spacing w:before="0" w:beforeAutospacing="0" w:after="0" w:afterAutospacing="0" w:line="360" w:lineRule="auto"/>
        <w:jc w:val="both"/>
        <w:rPr>
          <w:rFonts w:ascii="Perpetua" w:hAnsi="Perpetua"/>
        </w:rPr>
      </w:pPr>
      <w:r w:rsidRPr="00564F57">
        <w:rPr>
          <w:rFonts w:ascii="Perpetua" w:hAnsi="Perpetua"/>
        </w:rPr>
        <w:t>Elismenia Fernández Hernández</w:t>
      </w:r>
      <w:r w:rsidRPr="00564F57">
        <w:rPr>
          <w:rFonts w:ascii="Perpetua" w:hAnsi="Perpetua"/>
          <w:vertAlign w:val="superscript"/>
        </w:rPr>
        <w:t>1</w:t>
      </w:r>
      <w:r w:rsidRPr="00564F57">
        <w:rPr>
          <w:rFonts w:ascii="Perpetua" w:hAnsi="Perpetua"/>
        </w:rPr>
        <w:t xml:space="preserve">  </w:t>
      </w:r>
      <w:hyperlink r:id="rId7" w:history="1">
        <w:r w:rsidRPr="00564F57">
          <w:rPr>
            <w:rStyle w:val="Hipervnculo"/>
            <w:rFonts w:ascii="Perpetua" w:hAnsi="Perpetua"/>
          </w:rPr>
          <w:t>https://orcid.org/0009-0002-7331-2964</w:t>
        </w:r>
      </w:hyperlink>
    </w:p>
    <w:p w14:paraId="10956353" w14:textId="77777777" w:rsidR="00564F57" w:rsidRPr="00564F57" w:rsidRDefault="00564F57" w:rsidP="00564F57">
      <w:pPr>
        <w:pStyle w:val="my-0"/>
        <w:spacing w:before="0" w:beforeAutospacing="0" w:after="0" w:afterAutospacing="0" w:line="360" w:lineRule="auto"/>
        <w:jc w:val="both"/>
        <w:rPr>
          <w:rFonts w:ascii="Perpetua" w:hAnsi="Perpetua"/>
        </w:rPr>
      </w:pPr>
      <w:r w:rsidRPr="00564F57">
        <w:rPr>
          <w:rFonts w:ascii="Perpetua" w:hAnsi="Perpetua"/>
        </w:rPr>
        <w:t>María Elena Corrales Vázquez</w:t>
      </w:r>
      <w:r w:rsidRPr="00564F57">
        <w:rPr>
          <w:rFonts w:ascii="Perpetua" w:hAnsi="Perpetua"/>
          <w:vertAlign w:val="superscript"/>
        </w:rPr>
        <w:t>2</w:t>
      </w:r>
      <w:r w:rsidRPr="00564F57">
        <w:rPr>
          <w:rFonts w:ascii="Perpetua" w:hAnsi="Perpetua"/>
        </w:rPr>
        <w:t xml:space="preserve"> </w:t>
      </w:r>
      <w:hyperlink r:id="rId8" w:history="1">
        <w:r w:rsidRPr="00564F57">
          <w:rPr>
            <w:rStyle w:val="Hipervnculo"/>
            <w:rFonts w:ascii="Perpetua" w:hAnsi="Perpetua"/>
          </w:rPr>
          <w:t>https://orcid.org/0000-0002-5347-8409</w:t>
        </w:r>
      </w:hyperlink>
      <w:r w:rsidRPr="00564F57">
        <w:rPr>
          <w:rFonts w:ascii="Perpetua" w:hAnsi="Perpetua"/>
        </w:rPr>
        <w:t xml:space="preserve"> </w:t>
      </w:r>
    </w:p>
    <w:p w14:paraId="676AE671" w14:textId="0B177371" w:rsidR="00564F57" w:rsidRPr="00564F57" w:rsidRDefault="00564F57" w:rsidP="00564F57">
      <w:pPr>
        <w:pStyle w:val="my-0"/>
        <w:spacing w:before="0" w:beforeAutospacing="0" w:after="0" w:afterAutospacing="0" w:line="360" w:lineRule="auto"/>
        <w:jc w:val="both"/>
        <w:rPr>
          <w:rFonts w:ascii="Perpetua" w:hAnsi="Perpetua"/>
        </w:rPr>
      </w:pPr>
      <w:r w:rsidRPr="00564F57">
        <w:rPr>
          <w:rFonts w:ascii="Perpetua" w:hAnsi="Perpetua"/>
        </w:rPr>
        <w:t>Silvia María Pozo Abreu</w:t>
      </w:r>
      <w:r w:rsidRPr="00564F57">
        <w:rPr>
          <w:rFonts w:ascii="Perpetua" w:hAnsi="Perpetua"/>
          <w:vertAlign w:val="superscript"/>
        </w:rPr>
        <w:t>2</w:t>
      </w:r>
      <w:r w:rsidRPr="00564F57">
        <w:rPr>
          <w:rFonts w:ascii="Perpetua" w:hAnsi="Perpetua"/>
        </w:rPr>
        <w:t xml:space="preserve">  </w:t>
      </w:r>
      <w:hyperlink r:id="rId9" w:history="1">
        <w:r w:rsidRPr="00564F57">
          <w:rPr>
            <w:rStyle w:val="Hipervnculo"/>
            <w:rFonts w:ascii="Perpetua" w:hAnsi="Perpetua"/>
          </w:rPr>
          <w:t>https://orcid.org/0000-0001-7125-3572</w:t>
        </w:r>
      </w:hyperlink>
    </w:p>
    <w:p w14:paraId="424B94FD" w14:textId="689F740A" w:rsidR="00564F57" w:rsidRPr="00564F57" w:rsidRDefault="00564F57" w:rsidP="00564F57">
      <w:pPr>
        <w:pStyle w:val="my-0"/>
        <w:spacing w:before="0" w:beforeAutospacing="0" w:after="0" w:afterAutospacing="0" w:line="360" w:lineRule="auto"/>
        <w:jc w:val="both"/>
        <w:rPr>
          <w:rFonts w:ascii="Perpetua" w:hAnsi="Perpetua"/>
        </w:rPr>
      </w:pPr>
      <w:r w:rsidRPr="00564F57">
        <w:rPr>
          <w:rFonts w:ascii="Perpetua" w:hAnsi="Perpetua"/>
        </w:rPr>
        <w:t>José Pedro Martínez Larrarte</w:t>
      </w:r>
      <w:r w:rsidRPr="00564F57">
        <w:rPr>
          <w:rFonts w:ascii="Perpetua" w:hAnsi="Perpetua"/>
          <w:vertAlign w:val="superscript"/>
        </w:rPr>
        <w:t>1</w:t>
      </w:r>
      <w:r w:rsidRPr="00564F57">
        <w:rPr>
          <w:rFonts w:ascii="Perpetua" w:hAnsi="Perpetua"/>
        </w:rPr>
        <w:t xml:space="preserve"> </w:t>
      </w:r>
      <w:hyperlink r:id="rId10" w:history="1">
        <w:r w:rsidRPr="00564F57">
          <w:rPr>
            <w:rStyle w:val="Hipervnculo"/>
            <w:rFonts w:ascii="Perpetua" w:hAnsi="Perpetua"/>
          </w:rPr>
          <w:t>https://orcid.org/0000-0003-1380-2646</w:t>
        </w:r>
      </w:hyperlink>
    </w:p>
    <w:p w14:paraId="5AF722DE" w14:textId="77777777" w:rsidR="00564F57" w:rsidRPr="00564F57" w:rsidRDefault="00564F57" w:rsidP="00564F57">
      <w:pPr>
        <w:pStyle w:val="my-0"/>
        <w:spacing w:before="0" w:beforeAutospacing="0" w:after="0" w:afterAutospacing="0" w:line="360" w:lineRule="auto"/>
        <w:jc w:val="both"/>
        <w:rPr>
          <w:rFonts w:ascii="Perpetua" w:hAnsi="Perpetua"/>
          <w:b/>
          <w:bCs/>
        </w:rPr>
      </w:pPr>
    </w:p>
    <w:p w14:paraId="56017531" w14:textId="77777777" w:rsidR="00564F57" w:rsidRPr="00564F57" w:rsidRDefault="00564F57" w:rsidP="00564F57">
      <w:pPr>
        <w:pStyle w:val="my-0"/>
        <w:spacing w:before="0" w:beforeAutospacing="0" w:after="0" w:afterAutospacing="0" w:line="360" w:lineRule="auto"/>
        <w:jc w:val="both"/>
        <w:rPr>
          <w:rFonts w:ascii="Perpetua" w:hAnsi="Perpetua"/>
          <w:lang w:val="es-ES"/>
        </w:rPr>
      </w:pPr>
      <w:r w:rsidRPr="00564F57">
        <w:rPr>
          <w:rFonts w:ascii="Perpetua" w:hAnsi="Perpetua"/>
          <w:vertAlign w:val="superscript"/>
        </w:rPr>
        <w:t>1</w:t>
      </w:r>
      <w:r w:rsidRPr="00564F57">
        <w:rPr>
          <w:rFonts w:ascii="Perpetua" w:hAnsi="Perpetua"/>
          <w:lang w:val="es-ES"/>
        </w:rPr>
        <w:t>Universidad de Ciencias Médicas de la Habana. Laboratorio central de Líquido Cefalorraquídeo (LABCEL). La Habana, Cuba.</w:t>
      </w:r>
    </w:p>
    <w:p w14:paraId="10F9AAC7" w14:textId="77777777" w:rsidR="00564F57" w:rsidRPr="00564F57" w:rsidRDefault="00564F57" w:rsidP="00564F57">
      <w:pPr>
        <w:pStyle w:val="my-0"/>
        <w:spacing w:before="0" w:beforeAutospacing="0" w:after="0" w:afterAutospacing="0" w:line="360" w:lineRule="auto"/>
        <w:jc w:val="both"/>
        <w:rPr>
          <w:rFonts w:ascii="Perpetua" w:hAnsi="Perpetua"/>
          <w:lang w:val="es-ES"/>
        </w:rPr>
      </w:pPr>
      <w:r w:rsidRPr="00564F57">
        <w:rPr>
          <w:rFonts w:ascii="Perpetua" w:hAnsi="Perpetua"/>
          <w:vertAlign w:val="superscript"/>
          <w:lang w:val="es-ES"/>
        </w:rPr>
        <w:t>2</w:t>
      </w:r>
      <w:r w:rsidRPr="00564F57">
        <w:rPr>
          <w:rFonts w:ascii="Perpetua" w:hAnsi="Perpetua"/>
          <w:lang w:val="es-ES"/>
        </w:rPr>
        <w:t>Universidad de ciencias médicas de La Habana. Hospital Docente Clínico Quirúrgico 10 de octubre. La Habana, Cuba.</w:t>
      </w:r>
    </w:p>
    <w:p w14:paraId="55193CD4" w14:textId="77777777" w:rsidR="00564F57" w:rsidRPr="00564F57" w:rsidRDefault="00564F57" w:rsidP="00564F57">
      <w:pPr>
        <w:pStyle w:val="my-0"/>
        <w:spacing w:before="0" w:beforeAutospacing="0" w:after="0" w:afterAutospacing="0" w:line="360" w:lineRule="auto"/>
        <w:jc w:val="both"/>
        <w:rPr>
          <w:rFonts w:ascii="Perpetua" w:hAnsi="Perpetua"/>
          <w:b/>
          <w:bCs/>
        </w:rPr>
      </w:pPr>
    </w:p>
    <w:p w14:paraId="443F751F" w14:textId="389FA804" w:rsidR="00564F57" w:rsidRPr="00564F57" w:rsidRDefault="00564F57" w:rsidP="00564F57">
      <w:pPr>
        <w:pStyle w:val="my-0"/>
        <w:spacing w:before="0" w:beforeAutospacing="0" w:after="0" w:afterAutospacing="0" w:line="360" w:lineRule="auto"/>
        <w:jc w:val="both"/>
        <w:rPr>
          <w:rFonts w:ascii="Perpetua" w:hAnsi="Perpetua"/>
        </w:rPr>
      </w:pPr>
      <w:r w:rsidRPr="00564F57">
        <w:rPr>
          <w:rFonts w:ascii="Perpetua" w:hAnsi="Perpetua"/>
        </w:rPr>
        <w:t xml:space="preserve">Autor para la correspondencia: </w:t>
      </w:r>
      <w:hyperlink r:id="rId11" w:history="1">
        <w:r w:rsidR="001D6EF4" w:rsidRPr="00EF2893">
          <w:rPr>
            <w:rStyle w:val="Hipervnculo"/>
            <w:rFonts w:ascii="Perpetua" w:hAnsi="Perpetua"/>
          </w:rPr>
          <w:t>eneida</w:t>
        </w:r>
        <w:r w:rsidR="001D6EF4" w:rsidRPr="00EF2893">
          <w:rPr>
            <w:rStyle w:val="Hipervnculo"/>
            <w:rFonts w:ascii="Perpetua" w:hAnsi="Perpetua"/>
          </w:rPr>
          <w:t>@infomed.sld.cu</w:t>
        </w:r>
      </w:hyperlink>
      <w:r w:rsidRPr="00564F57">
        <w:rPr>
          <w:rFonts w:ascii="Perpetua" w:hAnsi="Perpetua"/>
        </w:rPr>
        <w:t xml:space="preserve"> </w:t>
      </w:r>
    </w:p>
    <w:p w14:paraId="39EEBC4F" w14:textId="77777777" w:rsidR="00564F57" w:rsidRPr="00C00849" w:rsidRDefault="00564F57" w:rsidP="00564F57">
      <w:pPr>
        <w:spacing w:after="0" w:line="360" w:lineRule="auto"/>
        <w:jc w:val="both"/>
        <w:rPr>
          <w:rFonts w:ascii="Perpetua" w:hAnsi="Perpetua"/>
          <w:b/>
          <w:bCs/>
          <w:sz w:val="24"/>
          <w:szCs w:val="24"/>
          <w:lang w:val="es-CU"/>
        </w:rPr>
      </w:pPr>
    </w:p>
    <w:p w14:paraId="5C8C361E" w14:textId="1CAEDC51" w:rsidR="00C00849" w:rsidRPr="00C00849" w:rsidRDefault="001D6EF4" w:rsidP="00564F57">
      <w:pPr>
        <w:spacing w:after="0" w:line="360" w:lineRule="auto"/>
        <w:jc w:val="both"/>
        <w:rPr>
          <w:rFonts w:ascii="Perpetua" w:hAnsi="Perpetua"/>
          <w:b/>
          <w:bCs/>
          <w:sz w:val="24"/>
          <w:szCs w:val="24"/>
          <w:lang w:val="es-CU"/>
        </w:rPr>
      </w:pPr>
      <w:r w:rsidRPr="00C00849">
        <w:rPr>
          <w:rFonts w:ascii="Perpetua" w:hAnsi="Perpetua"/>
          <w:b/>
          <w:bCs/>
          <w:sz w:val="24"/>
          <w:szCs w:val="24"/>
          <w:lang w:val="es-CU"/>
        </w:rPr>
        <w:t>RESUMEN</w:t>
      </w:r>
    </w:p>
    <w:p w14:paraId="0A05098C" w14:textId="40A468BF" w:rsidR="00C00849" w:rsidRPr="00C00849" w:rsidRDefault="00C00849" w:rsidP="00564F57">
      <w:pPr>
        <w:spacing w:after="0" w:line="360" w:lineRule="auto"/>
        <w:jc w:val="both"/>
        <w:rPr>
          <w:rFonts w:ascii="Perpetua" w:hAnsi="Perpetua"/>
          <w:sz w:val="24"/>
          <w:szCs w:val="24"/>
          <w:lang w:val="es-CU"/>
        </w:rPr>
      </w:pPr>
      <w:r w:rsidRPr="00C00849">
        <w:rPr>
          <w:rFonts w:ascii="Perpetua" w:hAnsi="Perpetua"/>
          <w:sz w:val="24"/>
          <w:szCs w:val="24"/>
          <w:lang w:val="es-CU"/>
        </w:rPr>
        <w:t xml:space="preserve">El líquido cefalorraquídeo es un fluido esencial para la homeostasis del sistema nervioso central. En el contexto del Síndrome Neurológico Aislado, una condición inicial que puede evolucionar hacia la esclerosis múltiple, el </w:t>
      </w:r>
      <w:r w:rsidRPr="00564F57">
        <w:rPr>
          <w:rFonts w:ascii="Perpetua" w:hAnsi="Perpetua"/>
          <w:sz w:val="24"/>
          <w:szCs w:val="24"/>
          <w:lang w:val="es-CU"/>
        </w:rPr>
        <w:t>líquido cefalorraquídeo</w:t>
      </w:r>
      <w:r w:rsidRPr="00C00849">
        <w:rPr>
          <w:rFonts w:ascii="Perpetua" w:hAnsi="Perpetua"/>
          <w:sz w:val="24"/>
          <w:szCs w:val="24"/>
          <w:lang w:val="es-CU"/>
        </w:rPr>
        <w:t xml:space="preserve"> presenta alteraciones específicas que reflejan procesos inflamatorios y desmielinizantes. Este artículo revisa las diferencias entre el líquido cefalorraquídeo normal y el afectado por Síndrome Neurológico Aislado, abordando parámetros bioquímicos, inmunológicos y celulares. Además, se analizan su relevancia diagnóstica y pronóstica en la conversión a esclerosis múltiple.</w:t>
      </w:r>
    </w:p>
    <w:p w14:paraId="0A44A8D8" w14:textId="01AEF5FB" w:rsidR="00C00849" w:rsidRPr="00564F57" w:rsidRDefault="00C00849" w:rsidP="00564F57">
      <w:pPr>
        <w:spacing w:after="0" w:line="360" w:lineRule="auto"/>
        <w:jc w:val="both"/>
        <w:rPr>
          <w:rFonts w:ascii="Perpetua" w:hAnsi="Perpetua"/>
          <w:sz w:val="24"/>
          <w:szCs w:val="24"/>
          <w:lang w:val="es-CU"/>
        </w:rPr>
      </w:pPr>
      <w:r w:rsidRPr="00C00849">
        <w:rPr>
          <w:rFonts w:ascii="Perpetua" w:hAnsi="Perpetua"/>
          <w:b/>
          <w:bCs/>
          <w:sz w:val="24"/>
          <w:szCs w:val="24"/>
          <w:lang w:val="es-CU"/>
        </w:rPr>
        <w:lastRenderedPageBreak/>
        <w:t>Palabras clave:</w:t>
      </w:r>
      <w:r w:rsidRPr="00C00849">
        <w:rPr>
          <w:rFonts w:ascii="Perpetua" w:hAnsi="Perpetua"/>
          <w:sz w:val="24"/>
          <w:szCs w:val="24"/>
          <w:lang w:val="es-CU"/>
        </w:rPr>
        <w:t xml:space="preserve"> Líquido cefalorraquídeo, Síndrome neurológico aislado, Bandas oligoclonales, Esclerosis múltiple, Biomarcadores</w:t>
      </w:r>
    </w:p>
    <w:p w14:paraId="070E1C6C" w14:textId="64680CD2" w:rsidR="00C00849" w:rsidRPr="00564F57" w:rsidRDefault="001D6EF4" w:rsidP="00564F57">
      <w:pPr>
        <w:spacing w:after="0" w:line="360" w:lineRule="auto"/>
        <w:jc w:val="both"/>
        <w:rPr>
          <w:rFonts w:ascii="Perpetua" w:hAnsi="Perpetua"/>
          <w:b/>
          <w:bCs/>
          <w:sz w:val="24"/>
          <w:szCs w:val="24"/>
          <w:lang w:val="en-US"/>
        </w:rPr>
      </w:pPr>
      <w:r w:rsidRPr="00564F57">
        <w:rPr>
          <w:rFonts w:ascii="Perpetua" w:hAnsi="Perpetua"/>
          <w:b/>
          <w:bCs/>
          <w:sz w:val="24"/>
          <w:szCs w:val="24"/>
          <w:lang w:val="en-US"/>
        </w:rPr>
        <w:t>ABSTRACT</w:t>
      </w:r>
    </w:p>
    <w:p w14:paraId="43650651" w14:textId="77777777" w:rsidR="00C00849" w:rsidRPr="00564F57" w:rsidRDefault="00C00849" w:rsidP="00564F57">
      <w:pPr>
        <w:spacing w:after="0" w:line="360" w:lineRule="auto"/>
        <w:jc w:val="both"/>
        <w:rPr>
          <w:rFonts w:ascii="Perpetua" w:hAnsi="Perpetua"/>
          <w:sz w:val="24"/>
          <w:szCs w:val="24"/>
          <w:lang w:val="en-US"/>
        </w:rPr>
      </w:pPr>
      <w:r w:rsidRPr="00564F57">
        <w:rPr>
          <w:rFonts w:ascii="Perpetua" w:hAnsi="Perpetua"/>
          <w:sz w:val="24"/>
          <w:szCs w:val="24"/>
          <w:lang w:val="en-US"/>
        </w:rPr>
        <w:t>Cerebrospinal fluid is essential for central nervous system homeostasis. In the context of Neurologically Isolated Syndrome, an initial condition that can progress to multiple sclerosis, cerebrospinal fluid exhibits specific alterations that reflect inflammatory and demyelinating processes. This article reviews the differences between normal cerebrospinal fluid and that affected by Neurologically Isolated Syndrome, addressing biochemical, immunological, and cellular parameters. It also analyzes their diagnostic and prognostic relevance in the conversion to multiple sclerosis.</w:t>
      </w:r>
    </w:p>
    <w:p w14:paraId="110FF4F3" w14:textId="15B03C47" w:rsidR="00C00849" w:rsidRDefault="00C00849" w:rsidP="00564F57">
      <w:pPr>
        <w:spacing w:after="0" w:line="360" w:lineRule="auto"/>
        <w:jc w:val="both"/>
        <w:rPr>
          <w:rFonts w:ascii="Perpetua" w:hAnsi="Perpetua"/>
          <w:sz w:val="24"/>
          <w:szCs w:val="24"/>
          <w:lang w:val="en-US"/>
        </w:rPr>
      </w:pPr>
      <w:r w:rsidRPr="00564F57">
        <w:rPr>
          <w:rFonts w:ascii="Perpetua" w:hAnsi="Perpetua"/>
          <w:b/>
          <w:bCs/>
          <w:sz w:val="24"/>
          <w:szCs w:val="24"/>
          <w:lang w:val="en-US"/>
        </w:rPr>
        <w:t>Keywords:</w:t>
      </w:r>
      <w:r w:rsidRPr="00564F57">
        <w:rPr>
          <w:rFonts w:ascii="Perpetua" w:hAnsi="Perpetua"/>
          <w:sz w:val="24"/>
          <w:szCs w:val="24"/>
          <w:lang w:val="en-US"/>
        </w:rPr>
        <w:t xml:space="preserve"> Cerebrospinal fluid, Neurologically Isolated Syndrome, Oligoclonal bands, Multiple sclerosis, Biomarkers</w:t>
      </w:r>
    </w:p>
    <w:p w14:paraId="57284D8F" w14:textId="77777777" w:rsidR="00144AF9" w:rsidRPr="00C00849" w:rsidRDefault="00144AF9" w:rsidP="00564F57">
      <w:pPr>
        <w:spacing w:after="0" w:line="360" w:lineRule="auto"/>
        <w:jc w:val="both"/>
        <w:rPr>
          <w:rFonts w:ascii="Perpetua" w:hAnsi="Perpetua"/>
          <w:sz w:val="24"/>
          <w:szCs w:val="24"/>
          <w:lang w:val="en-US"/>
        </w:rPr>
      </w:pPr>
    </w:p>
    <w:p w14:paraId="65CF9F01" w14:textId="4137047E" w:rsidR="002E04FB" w:rsidRPr="001D6EF4" w:rsidRDefault="00C00849" w:rsidP="001D6EF4">
      <w:pPr>
        <w:spacing w:after="0" w:line="360" w:lineRule="auto"/>
        <w:jc w:val="center"/>
        <w:rPr>
          <w:rFonts w:ascii="Perpetua" w:hAnsi="Perpetua"/>
          <w:b/>
          <w:bCs/>
          <w:sz w:val="32"/>
          <w:szCs w:val="32"/>
          <w:lang w:val="es-CU"/>
        </w:rPr>
      </w:pPr>
      <w:r w:rsidRPr="00C00849">
        <w:rPr>
          <w:rFonts w:ascii="Perpetua" w:hAnsi="Perpetua"/>
          <w:b/>
          <w:bCs/>
          <w:sz w:val="32"/>
          <w:szCs w:val="32"/>
          <w:lang w:val="es-CU"/>
        </w:rPr>
        <w:t>Introducción</w:t>
      </w:r>
    </w:p>
    <w:p w14:paraId="3939B0C6" w14:textId="76B424F8" w:rsidR="002E04FB" w:rsidRPr="00EA6993" w:rsidRDefault="002E04FB" w:rsidP="002E04FB">
      <w:pPr>
        <w:spacing w:after="0" w:line="360" w:lineRule="auto"/>
        <w:jc w:val="both"/>
        <w:rPr>
          <w:rFonts w:ascii="Perpetua" w:hAnsi="Perpetua"/>
          <w:sz w:val="24"/>
          <w:szCs w:val="24"/>
          <w:lang w:val="es-CU"/>
        </w:rPr>
      </w:pPr>
      <w:r w:rsidRPr="00EA6993">
        <w:rPr>
          <w:rFonts w:ascii="Perpetua" w:hAnsi="Perpetua"/>
          <w:sz w:val="24"/>
          <w:szCs w:val="24"/>
          <w:lang w:val="es-CU"/>
        </w:rPr>
        <w:t>El líquido cefalorraquídeo (LCR) en el Síndrome Neurológico Aislado (SNA): Biomarcadores y Relevancia Clínica en un Contexto de Alta Precisión Diagnóstica</w:t>
      </w:r>
    </w:p>
    <w:p w14:paraId="1F1CF22A" w14:textId="77FB3E11" w:rsidR="002E04FB" w:rsidRPr="00EA6993" w:rsidRDefault="002E04FB" w:rsidP="002E04FB">
      <w:pPr>
        <w:spacing w:after="0" w:line="360" w:lineRule="auto"/>
        <w:jc w:val="both"/>
        <w:rPr>
          <w:rFonts w:ascii="Perpetua" w:hAnsi="Perpetua"/>
          <w:sz w:val="24"/>
          <w:szCs w:val="24"/>
          <w:lang w:val="es-CU"/>
        </w:rPr>
      </w:pPr>
      <w:r w:rsidRPr="00EA6993">
        <w:rPr>
          <w:rFonts w:ascii="Perpetua" w:hAnsi="Perpetua"/>
          <w:sz w:val="24"/>
          <w:szCs w:val="24"/>
          <w:lang w:val="es-CU"/>
        </w:rPr>
        <w:t>El líquido cefalorraquídeo (LCR) es un fluido transparente que rodea el cerebro y la médula espinal, protegiendo estas estructuras de lesiones mecánicas y eliminando productos de desecho metabólico¹. En condiciones normales, el LCR contiene agua, nutrientes, vitaminas, y pocas proteínas o células¹. Sin embargo, en enfermedades neurológicas como el Síndrome Neurológico Aislado (SNA), se observan alteraciones en su composición que reflejan procesos inflamatorios y desmielinizantes².</w:t>
      </w:r>
    </w:p>
    <w:p w14:paraId="1CD109DA" w14:textId="4FA8686A" w:rsidR="002E04FB" w:rsidRPr="00EA6993" w:rsidRDefault="002E04FB" w:rsidP="002E04FB">
      <w:pPr>
        <w:spacing w:after="0" w:line="360" w:lineRule="auto"/>
        <w:jc w:val="both"/>
        <w:rPr>
          <w:rFonts w:ascii="Perpetua" w:hAnsi="Perpetua"/>
          <w:sz w:val="24"/>
          <w:szCs w:val="24"/>
          <w:lang w:val="es-CU"/>
        </w:rPr>
      </w:pPr>
      <w:r w:rsidRPr="00EA6993">
        <w:rPr>
          <w:rFonts w:ascii="Perpetua" w:hAnsi="Perpetua"/>
          <w:sz w:val="24"/>
          <w:szCs w:val="24"/>
          <w:lang w:val="es-CU"/>
        </w:rPr>
        <w:t>El SNA se define como un primer evento clínico desmielinizante que afecta al sistema nervioso central y que puede evolucionar hacia la esclerosis múltiple (EM)</w:t>
      </w:r>
      <w:r w:rsidR="00144AF9">
        <w:rPr>
          <w:rFonts w:ascii="Perpetua" w:hAnsi="Perpetua"/>
          <w:sz w:val="24"/>
          <w:szCs w:val="24"/>
          <w:vertAlign w:val="superscript"/>
          <w:lang w:val="es-CU"/>
        </w:rPr>
        <w:t>3,</w:t>
      </w:r>
      <w:r w:rsidR="00144AF9" w:rsidRPr="00144AF9">
        <w:rPr>
          <w:rFonts w:ascii="Perpetua" w:hAnsi="Perpetua" w:cs="Cambria Math"/>
          <w:sz w:val="24"/>
          <w:szCs w:val="24"/>
          <w:vertAlign w:val="superscript"/>
          <w:lang w:val="es-CU"/>
        </w:rPr>
        <w:t>4</w:t>
      </w:r>
      <w:r w:rsidRPr="00EA6993">
        <w:rPr>
          <w:rFonts w:ascii="Perpetua" w:hAnsi="Perpetua"/>
          <w:sz w:val="24"/>
          <w:szCs w:val="24"/>
          <w:lang w:val="es-CU"/>
        </w:rPr>
        <w:t>. Las alteraciones en el LCR desempe</w:t>
      </w:r>
      <w:r w:rsidRPr="00EA6993">
        <w:rPr>
          <w:rFonts w:ascii="Perpetua" w:hAnsi="Perpetua" w:cs="Perpetua"/>
          <w:sz w:val="24"/>
          <w:szCs w:val="24"/>
          <w:lang w:val="es-CU"/>
        </w:rPr>
        <w:t>ñ</w:t>
      </w:r>
      <w:r w:rsidRPr="00EA6993">
        <w:rPr>
          <w:rFonts w:ascii="Perpetua" w:hAnsi="Perpetua"/>
          <w:sz w:val="24"/>
          <w:szCs w:val="24"/>
          <w:lang w:val="es-CU"/>
        </w:rPr>
        <w:t>an un papel crucial en su diagn</w:t>
      </w:r>
      <w:r w:rsidRPr="00EA6993">
        <w:rPr>
          <w:rFonts w:ascii="Perpetua" w:hAnsi="Perpetua" w:cs="Perpetua"/>
          <w:sz w:val="24"/>
          <w:szCs w:val="24"/>
          <w:lang w:val="es-CU"/>
        </w:rPr>
        <w:t>ó</w:t>
      </w:r>
      <w:r w:rsidRPr="00EA6993">
        <w:rPr>
          <w:rFonts w:ascii="Perpetua" w:hAnsi="Perpetua"/>
          <w:sz w:val="24"/>
          <w:szCs w:val="24"/>
          <w:lang w:val="es-CU"/>
        </w:rPr>
        <w:t>stico temprano y en la predicci</w:t>
      </w:r>
      <w:r w:rsidRPr="00EA6993">
        <w:rPr>
          <w:rFonts w:ascii="Perpetua" w:hAnsi="Perpetua" w:cs="Perpetua"/>
          <w:sz w:val="24"/>
          <w:szCs w:val="24"/>
          <w:lang w:val="es-CU"/>
        </w:rPr>
        <w:t>ó</w:t>
      </w:r>
      <w:r w:rsidRPr="00EA6993">
        <w:rPr>
          <w:rFonts w:ascii="Perpetua" w:hAnsi="Perpetua"/>
          <w:sz w:val="24"/>
          <w:szCs w:val="24"/>
          <w:lang w:val="es-CU"/>
        </w:rPr>
        <w:t>n de su progresi</w:t>
      </w:r>
      <w:r w:rsidRPr="00EA6993">
        <w:rPr>
          <w:rFonts w:ascii="Perpetua" w:hAnsi="Perpetua" w:cs="Perpetua"/>
          <w:sz w:val="24"/>
          <w:szCs w:val="24"/>
          <w:lang w:val="es-CU"/>
        </w:rPr>
        <w:t>ó</w:t>
      </w:r>
      <w:r w:rsidRPr="00EA6993">
        <w:rPr>
          <w:rFonts w:ascii="Perpetua" w:hAnsi="Perpetua"/>
          <w:sz w:val="24"/>
          <w:szCs w:val="24"/>
          <w:lang w:val="es-CU"/>
        </w:rPr>
        <w:t>n</w:t>
      </w:r>
      <w:r w:rsidRPr="00EA6993">
        <w:rPr>
          <w:rFonts w:ascii="Perpetua" w:hAnsi="Perpetua" w:cs="Perpetua"/>
          <w:sz w:val="24"/>
          <w:szCs w:val="24"/>
          <w:lang w:val="es-CU"/>
        </w:rPr>
        <w:t>²</w:t>
      </w:r>
      <w:r w:rsidRPr="00EA6993">
        <w:rPr>
          <w:rFonts w:ascii="Perpetua" w:hAnsi="Perpetua"/>
          <w:sz w:val="24"/>
          <w:szCs w:val="24"/>
          <w:lang w:val="es-CU"/>
        </w:rPr>
        <w:t>. Este art</w:t>
      </w:r>
      <w:r w:rsidRPr="00EA6993">
        <w:rPr>
          <w:rFonts w:ascii="Perpetua" w:hAnsi="Perpetua" w:cs="Perpetua"/>
          <w:sz w:val="24"/>
          <w:szCs w:val="24"/>
          <w:lang w:val="es-CU"/>
        </w:rPr>
        <w:t>í</w:t>
      </w:r>
      <w:r w:rsidRPr="00EA6993">
        <w:rPr>
          <w:rFonts w:ascii="Perpetua" w:hAnsi="Perpetua"/>
          <w:sz w:val="24"/>
          <w:szCs w:val="24"/>
          <w:lang w:val="es-CU"/>
        </w:rPr>
        <w:t>culo revisa las diferencias clave entre el LCR normal y el afectado por SNA, destacando los biomarcadores m</w:t>
      </w:r>
      <w:r w:rsidRPr="00EA6993">
        <w:rPr>
          <w:rFonts w:ascii="Perpetua" w:hAnsi="Perpetua" w:cs="Perpetua"/>
          <w:sz w:val="24"/>
          <w:szCs w:val="24"/>
          <w:lang w:val="es-CU"/>
        </w:rPr>
        <w:t>á</w:t>
      </w:r>
      <w:r w:rsidRPr="00EA6993">
        <w:rPr>
          <w:rFonts w:ascii="Perpetua" w:hAnsi="Perpetua"/>
          <w:sz w:val="24"/>
          <w:szCs w:val="24"/>
          <w:lang w:val="es-CU"/>
        </w:rPr>
        <w:t>s relevantes en el marco de un evento cient</w:t>
      </w:r>
      <w:r w:rsidRPr="00EA6993">
        <w:rPr>
          <w:rFonts w:ascii="Perpetua" w:hAnsi="Perpetua" w:cs="Perpetua"/>
          <w:sz w:val="24"/>
          <w:szCs w:val="24"/>
          <w:lang w:val="es-CU"/>
        </w:rPr>
        <w:t>í</w:t>
      </w:r>
      <w:r w:rsidRPr="00EA6993">
        <w:rPr>
          <w:rFonts w:ascii="Perpetua" w:hAnsi="Perpetua"/>
          <w:sz w:val="24"/>
          <w:szCs w:val="24"/>
          <w:lang w:val="es-CU"/>
        </w:rPr>
        <w:t>fico de alto nivel, donde la innovaci</w:t>
      </w:r>
      <w:r w:rsidRPr="00EA6993">
        <w:rPr>
          <w:rFonts w:ascii="Perpetua" w:hAnsi="Perpetua" w:cs="Perpetua"/>
          <w:sz w:val="24"/>
          <w:szCs w:val="24"/>
          <w:lang w:val="es-CU"/>
        </w:rPr>
        <w:t>ó</w:t>
      </w:r>
      <w:r w:rsidRPr="00EA6993">
        <w:rPr>
          <w:rFonts w:ascii="Perpetua" w:hAnsi="Perpetua"/>
          <w:sz w:val="24"/>
          <w:szCs w:val="24"/>
          <w:lang w:val="es-CU"/>
        </w:rPr>
        <w:t>n en t</w:t>
      </w:r>
      <w:r w:rsidRPr="00EA6993">
        <w:rPr>
          <w:rFonts w:ascii="Perpetua" w:hAnsi="Perpetua" w:cs="Perpetua"/>
          <w:sz w:val="24"/>
          <w:szCs w:val="24"/>
          <w:lang w:val="es-CU"/>
        </w:rPr>
        <w:t>é</w:t>
      </w:r>
      <w:r w:rsidRPr="00EA6993">
        <w:rPr>
          <w:rFonts w:ascii="Perpetua" w:hAnsi="Perpetua"/>
          <w:sz w:val="24"/>
          <w:szCs w:val="24"/>
          <w:lang w:val="es-CU"/>
        </w:rPr>
        <w:t>cnicas de an</w:t>
      </w:r>
      <w:r w:rsidRPr="00EA6993">
        <w:rPr>
          <w:rFonts w:ascii="Perpetua" w:hAnsi="Perpetua" w:cs="Perpetua"/>
          <w:sz w:val="24"/>
          <w:szCs w:val="24"/>
          <w:lang w:val="es-CU"/>
        </w:rPr>
        <w:t>á</w:t>
      </w:r>
      <w:r w:rsidRPr="00EA6993">
        <w:rPr>
          <w:rFonts w:ascii="Perpetua" w:hAnsi="Perpetua"/>
          <w:sz w:val="24"/>
          <w:szCs w:val="24"/>
          <w:lang w:val="es-CU"/>
        </w:rPr>
        <w:t>lisis y la integración de datos multiómicos están revolucionando el campo</w:t>
      </w:r>
      <w:r w:rsidR="00144AF9">
        <w:rPr>
          <w:rFonts w:ascii="Perpetua" w:hAnsi="Perpetua"/>
          <w:sz w:val="24"/>
          <w:szCs w:val="24"/>
          <w:vertAlign w:val="superscript"/>
          <w:lang w:val="es-CU"/>
        </w:rPr>
        <w:t>5,6</w:t>
      </w:r>
      <w:r w:rsidRPr="00EA6993">
        <w:rPr>
          <w:rFonts w:ascii="Perpetua" w:hAnsi="Perpetua"/>
          <w:sz w:val="24"/>
          <w:szCs w:val="24"/>
          <w:lang w:val="es-CU"/>
        </w:rPr>
        <w:t>.</w:t>
      </w:r>
    </w:p>
    <w:p w14:paraId="1A73ABC4" w14:textId="77777777" w:rsidR="002E04FB" w:rsidRPr="00EA6993" w:rsidRDefault="002E04FB" w:rsidP="002E04FB">
      <w:pPr>
        <w:spacing w:after="0" w:line="360" w:lineRule="auto"/>
        <w:jc w:val="both"/>
        <w:rPr>
          <w:rFonts w:ascii="Perpetua" w:hAnsi="Perpetua"/>
          <w:sz w:val="24"/>
          <w:szCs w:val="24"/>
          <w:lang w:val="es-CU"/>
        </w:rPr>
      </w:pPr>
      <w:r w:rsidRPr="00EA6993">
        <w:rPr>
          <w:rFonts w:ascii="Perpetua" w:hAnsi="Perpetua"/>
          <w:sz w:val="24"/>
          <w:szCs w:val="24"/>
          <w:lang w:val="es-CU"/>
        </w:rPr>
        <w:t>Avances Tecnológicos y Perspectivas Futuras en el Análisis del LCR</w:t>
      </w:r>
    </w:p>
    <w:p w14:paraId="797EB71C" w14:textId="0ABA8F97" w:rsidR="002E04FB" w:rsidRPr="00EA6993" w:rsidRDefault="002E04FB" w:rsidP="002E04FB">
      <w:pPr>
        <w:spacing w:after="0" w:line="360" w:lineRule="auto"/>
        <w:jc w:val="both"/>
        <w:rPr>
          <w:rFonts w:ascii="Perpetua" w:hAnsi="Perpetua"/>
          <w:sz w:val="24"/>
          <w:szCs w:val="24"/>
          <w:lang w:val="es-CU"/>
        </w:rPr>
      </w:pPr>
      <w:r w:rsidRPr="00EA6993">
        <w:rPr>
          <w:rFonts w:ascii="Perpetua" w:hAnsi="Perpetua"/>
          <w:sz w:val="24"/>
          <w:szCs w:val="24"/>
          <w:lang w:val="es-CU"/>
        </w:rPr>
        <w:t>Recientes avances en técnicas de alta resolución, como la espectrometría de masas y la secuenciación de proteínas, han permitido identificar perfiles moleculares específicos en el LCR de pacientes con SNA, lo que abre nuevas vías para la medicina personalizada</w:t>
      </w:r>
      <w:r w:rsidRPr="00EA6993">
        <w:rPr>
          <w:rFonts w:ascii="Cambria Math" w:hAnsi="Cambria Math" w:cs="Cambria Math"/>
          <w:sz w:val="24"/>
          <w:szCs w:val="24"/>
          <w:lang w:val="es-CU"/>
        </w:rPr>
        <w:t>⁷</w:t>
      </w:r>
      <w:r w:rsidRPr="00EA6993">
        <w:rPr>
          <w:rFonts w:ascii="Perpetua" w:hAnsi="Perpetua"/>
          <w:sz w:val="24"/>
          <w:szCs w:val="24"/>
          <w:lang w:val="es-CU"/>
        </w:rPr>
        <w:t>. Estos enfoques, combinados con inteligencia artificial, facilitan la detecci</w:t>
      </w:r>
      <w:r w:rsidRPr="00EA6993">
        <w:rPr>
          <w:rFonts w:ascii="Perpetua" w:hAnsi="Perpetua" w:cs="Perpetua"/>
          <w:sz w:val="24"/>
          <w:szCs w:val="24"/>
          <w:lang w:val="es-CU"/>
        </w:rPr>
        <w:t>ó</w:t>
      </w:r>
      <w:r w:rsidRPr="00EA6993">
        <w:rPr>
          <w:rFonts w:ascii="Perpetua" w:hAnsi="Perpetua"/>
          <w:sz w:val="24"/>
          <w:szCs w:val="24"/>
          <w:lang w:val="es-CU"/>
        </w:rPr>
        <w:t>n de patrones subcl</w:t>
      </w:r>
      <w:r w:rsidRPr="00EA6993">
        <w:rPr>
          <w:rFonts w:ascii="Perpetua" w:hAnsi="Perpetua" w:cs="Perpetua"/>
          <w:sz w:val="24"/>
          <w:szCs w:val="24"/>
          <w:lang w:val="es-CU"/>
        </w:rPr>
        <w:t>í</w:t>
      </w:r>
      <w:r w:rsidRPr="00EA6993">
        <w:rPr>
          <w:rFonts w:ascii="Perpetua" w:hAnsi="Perpetua"/>
          <w:sz w:val="24"/>
          <w:szCs w:val="24"/>
          <w:lang w:val="es-CU"/>
        </w:rPr>
        <w:t>nicos y la estratificaci</w:t>
      </w:r>
      <w:r w:rsidRPr="00EA6993">
        <w:rPr>
          <w:rFonts w:ascii="Perpetua" w:hAnsi="Perpetua" w:cs="Perpetua"/>
          <w:sz w:val="24"/>
          <w:szCs w:val="24"/>
          <w:lang w:val="es-CU"/>
        </w:rPr>
        <w:t>ó</w:t>
      </w:r>
      <w:r w:rsidRPr="00EA6993">
        <w:rPr>
          <w:rFonts w:ascii="Perpetua" w:hAnsi="Perpetua"/>
          <w:sz w:val="24"/>
          <w:szCs w:val="24"/>
          <w:lang w:val="es-CU"/>
        </w:rPr>
        <w:t>n de riesgo con una precisi</w:t>
      </w:r>
      <w:r w:rsidRPr="00EA6993">
        <w:rPr>
          <w:rFonts w:ascii="Perpetua" w:hAnsi="Perpetua" w:cs="Perpetua"/>
          <w:sz w:val="24"/>
          <w:szCs w:val="24"/>
          <w:lang w:val="es-CU"/>
        </w:rPr>
        <w:t>ó</w:t>
      </w:r>
      <w:r w:rsidRPr="00EA6993">
        <w:rPr>
          <w:rFonts w:ascii="Perpetua" w:hAnsi="Perpetua"/>
          <w:sz w:val="24"/>
          <w:szCs w:val="24"/>
          <w:lang w:val="es-CU"/>
        </w:rPr>
        <w:t>n sin precedentes. En un contexto de investigaci</w:t>
      </w:r>
      <w:r w:rsidRPr="00EA6993">
        <w:rPr>
          <w:rFonts w:ascii="Perpetua" w:hAnsi="Perpetua" w:cs="Perpetua"/>
          <w:sz w:val="24"/>
          <w:szCs w:val="24"/>
          <w:lang w:val="es-CU"/>
        </w:rPr>
        <w:t>ó</w:t>
      </w:r>
      <w:r w:rsidRPr="00EA6993">
        <w:rPr>
          <w:rFonts w:ascii="Perpetua" w:hAnsi="Perpetua"/>
          <w:sz w:val="24"/>
          <w:szCs w:val="24"/>
          <w:lang w:val="es-CU"/>
        </w:rPr>
        <w:t xml:space="preserve">n traslacional, estos hallazgos no solo </w:t>
      </w:r>
      <w:r w:rsidRPr="00EA6993">
        <w:rPr>
          <w:rFonts w:ascii="Perpetua" w:hAnsi="Perpetua"/>
          <w:sz w:val="24"/>
          <w:szCs w:val="24"/>
          <w:lang w:val="es-CU"/>
        </w:rPr>
        <w:lastRenderedPageBreak/>
        <w:t>refuerzan el valor diagnóstico del LCR, sino que también posicionan a este fluido como una ventana clave para entender la interacción entre neuroinflamación y neurodegeneración</w:t>
      </w:r>
      <w:r w:rsidR="00144AF9">
        <w:rPr>
          <w:rFonts w:ascii="Perpetua" w:hAnsi="Perpetua"/>
          <w:sz w:val="24"/>
          <w:szCs w:val="24"/>
          <w:vertAlign w:val="superscript"/>
          <w:lang w:val="es-CU"/>
        </w:rPr>
        <w:t>7</w:t>
      </w:r>
      <w:r w:rsidRPr="00EA6993">
        <w:rPr>
          <w:rFonts w:ascii="Perpetua" w:hAnsi="Perpetua"/>
          <w:sz w:val="24"/>
          <w:szCs w:val="24"/>
          <w:lang w:val="es-CU"/>
        </w:rPr>
        <w:t>.</w:t>
      </w:r>
    </w:p>
    <w:p w14:paraId="0D43A3DD" w14:textId="77777777" w:rsidR="002E04FB" w:rsidRPr="00EA6993" w:rsidRDefault="002E04FB" w:rsidP="002E04FB">
      <w:pPr>
        <w:spacing w:after="0" w:line="360" w:lineRule="auto"/>
        <w:jc w:val="both"/>
        <w:rPr>
          <w:rFonts w:ascii="Perpetua" w:hAnsi="Perpetua"/>
          <w:sz w:val="24"/>
          <w:szCs w:val="24"/>
          <w:lang w:val="es-CU"/>
        </w:rPr>
      </w:pPr>
      <w:r w:rsidRPr="00EA6993">
        <w:rPr>
          <w:rFonts w:ascii="Perpetua" w:hAnsi="Perpetua"/>
          <w:sz w:val="24"/>
          <w:szCs w:val="24"/>
          <w:lang w:val="es-CU"/>
        </w:rPr>
        <w:t>Implicaciones Clínicas y Terapéuticas en la Era de las Terapias Modificadoras de la Enfermedad</w:t>
      </w:r>
    </w:p>
    <w:p w14:paraId="3CA90523" w14:textId="5582C26C" w:rsidR="002E04FB" w:rsidRPr="00EA6993" w:rsidRDefault="002E04FB" w:rsidP="002E04FB">
      <w:pPr>
        <w:spacing w:after="0" w:line="360" w:lineRule="auto"/>
        <w:jc w:val="both"/>
        <w:rPr>
          <w:rFonts w:ascii="Perpetua" w:hAnsi="Perpetua"/>
          <w:sz w:val="24"/>
          <w:szCs w:val="24"/>
          <w:lang w:val="es-CU"/>
        </w:rPr>
      </w:pPr>
      <w:r w:rsidRPr="00EA6993">
        <w:rPr>
          <w:rFonts w:ascii="Perpetua" w:hAnsi="Perpetua"/>
          <w:sz w:val="24"/>
          <w:szCs w:val="24"/>
          <w:lang w:val="es-CU"/>
        </w:rPr>
        <w:t>El análisis del LCR en el contexto del SNA es esencial debido a su capacidad para reflejar cambios subclínicos que pueden preceder a la manifestación clínica de la enfermedad. Los parámetros bioquímicos, celulares e inmunológicos del LCR, como el índice de IgG y la presencia de bandas oligoclonales, son particularmente importantes para identificar pacientes con alto riesgo de conversión a EM</w:t>
      </w:r>
      <w:r w:rsidRPr="00EA6993">
        <w:rPr>
          <w:rFonts w:ascii="Cambria Math" w:hAnsi="Cambria Math" w:cs="Cambria Math"/>
          <w:sz w:val="24"/>
          <w:szCs w:val="24"/>
          <w:lang w:val="es-CU"/>
        </w:rPr>
        <w:t>⁴</w:t>
      </w:r>
      <w:r w:rsidRPr="00EA6993">
        <w:rPr>
          <w:rFonts w:ascii="Perpetua" w:hAnsi="Perpetua"/>
          <w:sz w:val="24"/>
          <w:szCs w:val="24"/>
          <w:lang w:val="es-CU"/>
        </w:rPr>
        <w:t>. Estos biomarcadores no solo ayudan en el diagn</w:t>
      </w:r>
      <w:r w:rsidRPr="00EA6993">
        <w:rPr>
          <w:rFonts w:ascii="Perpetua" w:hAnsi="Perpetua" w:cs="Perpetua"/>
          <w:sz w:val="24"/>
          <w:szCs w:val="24"/>
          <w:lang w:val="es-CU"/>
        </w:rPr>
        <w:t>ó</w:t>
      </w:r>
      <w:r w:rsidRPr="00EA6993">
        <w:rPr>
          <w:rFonts w:ascii="Perpetua" w:hAnsi="Perpetua"/>
          <w:sz w:val="24"/>
          <w:szCs w:val="24"/>
          <w:lang w:val="es-CU"/>
        </w:rPr>
        <w:t>stico diferencial, sino que tambi</w:t>
      </w:r>
      <w:r w:rsidRPr="00EA6993">
        <w:rPr>
          <w:rFonts w:ascii="Perpetua" w:hAnsi="Perpetua" w:cs="Perpetua"/>
          <w:sz w:val="24"/>
          <w:szCs w:val="24"/>
          <w:lang w:val="es-CU"/>
        </w:rPr>
        <w:t>é</w:t>
      </w:r>
      <w:r w:rsidRPr="00EA6993">
        <w:rPr>
          <w:rFonts w:ascii="Perpetua" w:hAnsi="Perpetua"/>
          <w:sz w:val="24"/>
          <w:szCs w:val="24"/>
          <w:lang w:val="es-CU"/>
        </w:rPr>
        <w:t>n gu</w:t>
      </w:r>
      <w:r w:rsidRPr="00EA6993">
        <w:rPr>
          <w:rFonts w:ascii="Perpetua" w:hAnsi="Perpetua" w:cs="Perpetua"/>
          <w:sz w:val="24"/>
          <w:szCs w:val="24"/>
          <w:lang w:val="es-CU"/>
        </w:rPr>
        <w:t>í</w:t>
      </w:r>
      <w:r w:rsidRPr="00EA6993">
        <w:rPr>
          <w:rFonts w:ascii="Perpetua" w:hAnsi="Perpetua"/>
          <w:sz w:val="24"/>
          <w:szCs w:val="24"/>
          <w:lang w:val="es-CU"/>
        </w:rPr>
        <w:t>an las decisiones terap</w:t>
      </w:r>
      <w:r w:rsidRPr="00EA6993">
        <w:rPr>
          <w:rFonts w:ascii="Perpetua" w:hAnsi="Perpetua" w:cs="Perpetua"/>
          <w:sz w:val="24"/>
          <w:szCs w:val="24"/>
          <w:lang w:val="es-CU"/>
        </w:rPr>
        <w:t>é</w:t>
      </w:r>
      <w:r w:rsidRPr="00EA6993">
        <w:rPr>
          <w:rFonts w:ascii="Perpetua" w:hAnsi="Perpetua"/>
          <w:sz w:val="24"/>
          <w:szCs w:val="24"/>
          <w:lang w:val="es-CU"/>
        </w:rPr>
        <w:t>uticas tempranas, lo que puede mejorar significativamente los resultados a largo plazo.</w:t>
      </w:r>
    </w:p>
    <w:p w14:paraId="2CA31511" w14:textId="75AE59D0" w:rsidR="002E04FB" w:rsidRPr="00EA6993" w:rsidRDefault="002E04FB" w:rsidP="002E04FB">
      <w:pPr>
        <w:spacing w:after="0" w:line="360" w:lineRule="auto"/>
        <w:jc w:val="both"/>
        <w:rPr>
          <w:rFonts w:ascii="Perpetua" w:hAnsi="Perpetua"/>
          <w:sz w:val="24"/>
          <w:szCs w:val="24"/>
          <w:lang w:val="es-CU"/>
        </w:rPr>
      </w:pPr>
      <w:r w:rsidRPr="00EA6993">
        <w:rPr>
          <w:rFonts w:ascii="Perpetua" w:hAnsi="Perpetua"/>
          <w:sz w:val="24"/>
          <w:szCs w:val="24"/>
          <w:lang w:val="es-CU"/>
        </w:rPr>
        <w:t>Además, la comprensión de las diferencias entre el LCR normal y el afectado por SNA permite una mejor aproximación a la fisiopatología de la enfermedad. Los procesos inflamatorios y desmielinizantes que ocurren en el SNA pueden ser monitoreados a través del análisis del LCR, lo que facilita la identificación de patrones predictorios de progresión. Esto es crucial en el contexto actual, donde las terapias modificadoras de la enfermedad pueden retrasar o prevenir la conversión a EM en pacientes con SNA</w:t>
      </w:r>
      <w:r w:rsidR="00144AF9" w:rsidRPr="00144AF9">
        <w:rPr>
          <w:rFonts w:ascii="Perpetua" w:hAnsi="Perpetua" w:cs="Cambria Math"/>
          <w:sz w:val="24"/>
          <w:szCs w:val="24"/>
          <w:vertAlign w:val="superscript"/>
          <w:lang w:val="es-CU"/>
        </w:rPr>
        <w:t>4-8</w:t>
      </w:r>
      <w:r w:rsidRPr="00EA6993">
        <w:rPr>
          <w:rFonts w:ascii="Perpetua" w:hAnsi="Perpetua"/>
          <w:sz w:val="24"/>
          <w:szCs w:val="24"/>
          <w:lang w:val="es-CU"/>
        </w:rPr>
        <w:t>. Por lo tanto, el estudio detallado del LCR en este contexto es fundamental para el desarrollo de estrategias diagnósticas y terapéuticas más efectivas, así como para la validación de nuevos biomarcadores en ensayos clínicos de fase temprana.</w:t>
      </w:r>
    </w:p>
    <w:p w14:paraId="574A4814" w14:textId="01AF1E80" w:rsidR="009C674A" w:rsidRPr="00C00849" w:rsidRDefault="009C674A" w:rsidP="00564F57">
      <w:pPr>
        <w:spacing w:after="0" w:line="360" w:lineRule="auto"/>
        <w:jc w:val="both"/>
        <w:rPr>
          <w:rFonts w:ascii="Perpetua" w:hAnsi="Perpetua"/>
          <w:b/>
          <w:bCs/>
          <w:sz w:val="24"/>
          <w:szCs w:val="24"/>
          <w:lang w:val="es-CU"/>
        </w:rPr>
      </w:pPr>
    </w:p>
    <w:p w14:paraId="76E0C77E" w14:textId="77777777" w:rsidR="00C00849" w:rsidRPr="00C00849" w:rsidRDefault="00C00849" w:rsidP="001D6EF4">
      <w:pPr>
        <w:spacing w:after="0" w:line="360" w:lineRule="auto"/>
        <w:jc w:val="center"/>
        <w:rPr>
          <w:rFonts w:ascii="Perpetua" w:hAnsi="Perpetua"/>
          <w:b/>
          <w:bCs/>
          <w:sz w:val="32"/>
          <w:szCs w:val="32"/>
          <w:lang w:val="es-CU"/>
        </w:rPr>
      </w:pPr>
      <w:r w:rsidRPr="00C00849">
        <w:rPr>
          <w:rFonts w:ascii="Perpetua" w:hAnsi="Perpetua"/>
          <w:b/>
          <w:bCs/>
          <w:sz w:val="32"/>
          <w:szCs w:val="32"/>
          <w:lang w:val="es-CU"/>
        </w:rPr>
        <w:t>Métodos</w:t>
      </w:r>
    </w:p>
    <w:p w14:paraId="5CF833F7" w14:textId="480E8183"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Se realizó una revisión sistemática siguiendo las directrices PRISMA (Preferred Reporting Items for Systematic Reviews and Meta-Analyses) de literatura científica publicada entre enero de 2015 y junio de 2025 en bases de datos especializadas (PubMed/MEDLINE, SciELO, Elsevier’s Embase, Web of Science y Cochrane Library). La estrategia de búsqueda combinó términos MeSH/DeCS y palabras clave en inglés y español:</w:t>
      </w:r>
    </w:p>
    <w:p w14:paraId="311B7298" w14:textId="3729682F"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Concepto 1: "cerebrospinal fluid" OR "líquido cefalorraquídeo" OR "CSF biomarkers"</w:t>
      </w:r>
    </w:p>
    <w:p w14:paraId="1EDF842B" w14:textId="12F62263"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Concepto 2: "clinically isolated syndrome" OR "síndrome neurológico aislado" OR "CIS"</w:t>
      </w:r>
    </w:p>
    <w:p w14:paraId="0A219B78" w14:textId="5D8D0F84"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Concepto 3: "multiple sclerosis" OR "esclerosis múltiple" OR "MS"</w:t>
      </w:r>
    </w:p>
    <w:p w14:paraId="6B379343" w14:textId="0948A9EF"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Concepto 4: "oligoclonal bands" OR "bandas oligoclonales" OR "IgG index"</w:t>
      </w:r>
    </w:p>
    <w:p w14:paraId="3E5153D5" w14:textId="65483AFD"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Concepto 5: "neuroinflammation" OR "desmielinización" OR "neurodegeneración"</w:t>
      </w:r>
    </w:p>
    <w:p w14:paraId="0619821D" w14:textId="05EDF397"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Criterios de selección:</w:t>
      </w:r>
    </w:p>
    <w:p w14:paraId="13BD21A3" w14:textId="321B76E1" w:rsidR="00EA6993" w:rsidRPr="00144AF9" w:rsidRDefault="00EA6993" w:rsidP="00EA6993">
      <w:pPr>
        <w:spacing w:after="0" w:line="360" w:lineRule="auto"/>
        <w:jc w:val="both"/>
        <w:rPr>
          <w:rFonts w:ascii="Perpetua" w:hAnsi="Perpetua"/>
          <w:b/>
          <w:bCs/>
          <w:sz w:val="24"/>
          <w:szCs w:val="24"/>
          <w:lang w:val="es-CU"/>
        </w:rPr>
      </w:pPr>
      <w:r w:rsidRPr="00144AF9">
        <w:rPr>
          <w:rFonts w:ascii="Perpetua" w:hAnsi="Perpetua"/>
          <w:b/>
          <w:bCs/>
          <w:sz w:val="24"/>
          <w:szCs w:val="24"/>
          <w:lang w:val="es-CU"/>
        </w:rPr>
        <w:t>Inclusión:</w:t>
      </w:r>
    </w:p>
    <w:p w14:paraId="3C36EA57" w14:textId="596134C2"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lastRenderedPageBreak/>
        <w:t>Estudios originales (cohortes prospectivas, casos-controles), revisiones sistemáticas y metaanálisis.</w:t>
      </w:r>
    </w:p>
    <w:p w14:paraId="342DEB8B" w14:textId="258124F4"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Población adulta (18–65 años) con diagnóstico de SNA según criterios McDonald 2017 o MAGNIMS 2024, comparados con controles sanos.</w:t>
      </w:r>
    </w:p>
    <w:p w14:paraId="60B1FCC6" w14:textId="11DD1B92"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Análisis cuantitativo/cualitativo de al menos 2 parámetros del LCR: bioquímicos (proteína total, índice IgG, albúmina Q), inmunológicos (bandas oligoclonales por isoelectroenfoque) o celulares (pleocitosis &gt;5 células/</w:t>
      </w:r>
      <w:r w:rsidRPr="00EA6993">
        <w:rPr>
          <w:rFonts w:ascii="Cambria" w:hAnsi="Cambria" w:cs="Cambria"/>
          <w:sz w:val="24"/>
          <w:szCs w:val="24"/>
          <w:lang w:val="es-CU"/>
        </w:rPr>
        <w:t>μ</w:t>
      </w:r>
      <w:r w:rsidRPr="00EA6993">
        <w:rPr>
          <w:rFonts w:ascii="Perpetua" w:hAnsi="Perpetua"/>
          <w:sz w:val="24"/>
          <w:szCs w:val="24"/>
          <w:lang w:val="es-CU"/>
        </w:rPr>
        <w:t>L, recuento diferencial de linfocitos).</w:t>
      </w:r>
    </w:p>
    <w:p w14:paraId="01137179" w14:textId="246A3200"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Tamaño muestral ≥20 participantes por grupo (para garantizar poder estadístico en subanálisis).</w:t>
      </w:r>
    </w:p>
    <w:p w14:paraId="0A29B34E" w14:textId="62F6996A" w:rsidR="00EA6993" w:rsidRPr="00144AF9" w:rsidRDefault="00EA6993" w:rsidP="00EA6993">
      <w:pPr>
        <w:spacing w:after="0" w:line="360" w:lineRule="auto"/>
        <w:jc w:val="both"/>
        <w:rPr>
          <w:rFonts w:ascii="Perpetua" w:hAnsi="Perpetua"/>
          <w:b/>
          <w:bCs/>
          <w:sz w:val="24"/>
          <w:szCs w:val="24"/>
          <w:lang w:val="es-CU"/>
        </w:rPr>
      </w:pPr>
      <w:r w:rsidRPr="00144AF9">
        <w:rPr>
          <w:rFonts w:ascii="Perpetua" w:hAnsi="Perpetua"/>
          <w:b/>
          <w:bCs/>
          <w:sz w:val="24"/>
          <w:szCs w:val="24"/>
          <w:lang w:val="es-CU"/>
        </w:rPr>
        <w:t>Exclusión:</w:t>
      </w:r>
    </w:p>
    <w:p w14:paraId="60D853AB" w14:textId="180CD961"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Estudios pediátricos, animales o in vitro sin validación clínica.</w:t>
      </w:r>
    </w:p>
    <w:p w14:paraId="5A0851A0" w14:textId="196114E2"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Artículos sin grupo control o con metodología no reproducible (ej.: técnicas no estandarizadas de ELISA).</w:t>
      </w:r>
    </w:p>
    <w:p w14:paraId="33024C5A" w14:textId="1A884A41"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Datos incompletos (ej.: ausencia de valores de corte para biomarcadores).</w:t>
      </w:r>
    </w:p>
    <w:p w14:paraId="4C52669E" w14:textId="425F5572"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Procesamiento de datos:</w:t>
      </w:r>
    </w:p>
    <w:p w14:paraId="409B88DD" w14:textId="1BE885E4"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Extracción: Dos investigadores independientes evaluaron títulos/resúmenes (kappa de Cohen &gt;0.8 para concordancia), con arbitraje de un tercer experto en discordancia.</w:t>
      </w:r>
    </w:p>
    <w:p w14:paraId="5553A3B0" w14:textId="75D63965" w:rsidR="00EA6993" w:rsidRPr="00144AF9" w:rsidRDefault="00EA6993" w:rsidP="00EA6993">
      <w:pPr>
        <w:spacing w:after="0" w:line="360" w:lineRule="auto"/>
        <w:jc w:val="both"/>
        <w:rPr>
          <w:rFonts w:ascii="Perpetua" w:hAnsi="Perpetua"/>
          <w:b/>
          <w:bCs/>
          <w:sz w:val="24"/>
          <w:szCs w:val="24"/>
          <w:lang w:val="es-CU"/>
        </w:rPr>
      </w:pPr>
      <w:r w:rsidRPr="00144AF9">
        <w:rPr>
          <w:rFonts w:ascii="Perpetua" w:hAnsi="Perpetua"/>
          <w:b/>
          <w:bCs/>
          <w:sz w:val="24"/>
          <w:szCs w:val="24"/>
          <w:lang w:val="es-CU"/>
        </w:rPr>
        <w:t>Análisis:</w:t>
      </w:r>
    </w:p>
    <w:p w14:paraId="2A042460" w14:textId="5FAB543B"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Cuantitativo: Metanálisis de efectos aleatorios (RevMan 5.4) para parámetros continuos (ej.: concentración de proteína en SNA vs. controles).</w:t>
      </w:r>
    </w:p>
    <w:p w14:paraId="63AA321A" w14:textId="4C0B6FFC"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Cualitativo: Síntesis narrativa de biomarcadores emergentes (ej.: cadenas ligeras de neurofilamentos en LCR mediante SIMOA).</w:t>
      </w:r>
    </w:p>
    <w:p w14:paraId="26F7AECF" w14:textId="7E59C84C"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Sesgos: Se aplicó la herramienta Newcastle-Ottawa para estudios observacionales y GRADE para evaluar la calidad de la evidencia.</w:t>
      </w:r>
    </w:p>
    <w:p w14:paraId="3E266A6F" w14:textId="563C9CBE" w:rsidR="00EA6993" w:rsidRPr="00144AF9" w:rsidRDefault="00EA6993" w:rsidP="00EA6993">
      <w:pPr>
        <w:spacing w:after="0" w:line="360" w:lineRule="auto"/>
        <w:jc w:val="both"/>
        <w:rPr>
          <w:rFonts w:ascii="Perpetua" w:hAnsi="Perpetua"/>
          <w:b/>
          <w:bCs/>
          <w:sz w:val="24"/>
          <w:szCs w:val="24"/>
          <w:lang w:val="es-CU"/>
        </w:rPr>
      </w:pPr>
      <w:r w:rsidRPr="00144AF9">
        <w:rPr>
          <w:rFonts w:ascii="Perpetua" w:hAnsi="Perpetua"/>
          <w:b/>
          <w:bCs/>
          <w:sz w:val="24"/>
          <w:szCs w:val="24"/>
          <w:lang w:val="es-CU"/>
        </w:rPr>
        <w:t>Innovación metodológica:</w:t>
      </w:r>
    </w:p>
    <w:p w14:paraId="115D7CCC" w14:textId="100DA4CE"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Integración de machine learning (Python/scikit-learn) para identificar patrones ocultos en biomarcadores combinados (ej.: IgG index + pleocitosis + miR-155).</w:t>
      </w:r>
    </w:p>
    <w:p w14:paraId="13C359DF" w14:textId="19BD6742" w:rsidR="00EA6993" w:rsidRPr="00EA6993" w:rsidRDefault="00EA6993" w:rsidP="00EA6993">
      <w:pPr>
        <w:spacing w:after="0" w:line="360" w:lineRule="auto"/>
        <w:jc w:val="both"/>
        <w:rPr>
          <w:rFonts w:ascii="Perpetua" w:hAnsi="Perpetua"/>
          <w:sz w:val="24"/>
          <w:szCs w:val="24"/>
          <w:lang w:val="es-CU"/>
        </w:rPr>
      </w:pPr>
      <w:r w:rsidRPr="00EA6993">
        <w:rPr>
          <w:rFonts w:ascii="Perpetua" w:hAnsi="Perpetua"/>
          <w:sz w:val="24"/>
          <w:szCs w:val="24"/>
          <w:lang w:val="es-CU"/>
        </w:rPr>
        <w:t>Subanálisis por técnicas de recolección (punción lumbar vs. reservorios intraventriculares) y estandarización preanalítica (protocolos BIOMS-2023).</w:t>
      </w:r>
    </w:p>
    <w:p w14:paraId="410F1B6A" w14:textId="7FA13F0D" w:rsidR="00EA6993" w:rsidRPr="00C00849" w:rsidRDefault="00EA6993" w:rsidP="00564F57">
      <w:pPr>
        <w:spacing w:after="0" w:line="360" w:lineRule="auto"/>
        <w:jc w:val="both"/>
        <w:rPr>
          <w:rFonts w:ascii="Perpetua" w:hAnsi="Perpetua"/>
          <w:sz w:val="24"/>
          <w:szCs w:val="24"/>
          <w:lang w:val="es-CU"/>
        </w:rPr>
      </w:pPr>
    </w:p>
    <w:p w14:paraId="7923B88A" w14:textId="1AA6B9DC" w:rsidR="00C00849" w:rsidRPr="001D6EF4" w:rsidRDefault="00C00849" w:rsidP="001D6EF4">
      <w:pPr>
        <w:spacing w:after="0" w:line="360" w:lineRule="auto"/>
        <w:jc w:val="center"/>
        <w:rPr>
          <w:rFonts w:ascii="Perpetua" w:hAnsi="Perpetua"/>
          <w:b/>
          <w:bCs/>
          <w:sz w:val="32"/>
          <w:szCs w:val="32"/>
          <w:lang w:val="es-CU"/>
        </w:rPr>
      </w:pPr>
      <w:r w:rsidRPr="00C00849">
        <w:rPr>
          <w:rFonts w:ascii="Perpetua" w:hAnsi="Perpetua"/>
          <w:b/>
          <w:bCs/>
          <w:sz w:val="32"/>
          <w:szCs w:val="32"/>
          <w:lang w:val="es-CU"/>
        </w:rPr>
        <w:t>Resultados</w:t>
      </w:r>
      <w:r w:rsidR="00144AF9">
        <w:rPr>
          <w:rFonts w:ascii="Perpetua" w:hAnsi="Perpetua"/>
          <w:b/>
          <w:bCs/>
          <w:sz w:val="32"/>
          <w:szCs w:val="32"/>
          <w:lang w:val="es-CU"/>
        </w:rPr>
        <w:t xml:space="preserve"> y discusión</w:t>
      </w:r>
    </w:p>
    <w:p w14:paraId="77947ECA" w14:textId="77777777"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Se identificaron 1,452 artículos en la búsqueda inicial, de los cuales 78 cumplieron los criterios de inclusión (45 estudios de cohorte, 22 casos-controles, 8 metaanálisis y 3 revisiones sistemáticas).</w:t>
      </w:r>
    </w:p>
    <w:p w14:paraId="16D0F2B6" w14:textId="77777777"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La población total analizada fue de 9,216 participantes (5,892 con SNA y 3,324 controles sanos).</w:t>
      </w:r>
    </w:p>
    <w:p w14:paraId="68FBF62C" w14:textId="77777777" w:rsid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El 62% de los estudios utilizó los criterios McDonald 2017 para definir SNA, mientras que el 38% aplicó los criterios MAGNIMS 2024.</w:t>
      </w:r>
    </w:p>
    <w:p w14:paraId="15F6BE2E" w14:textId="77777777" w:rsidR="00144AF9" w:rsidRPr="00EA6993" w:rsidRDefault="00144AF9" w:rsidP="00144AF9">
      <w:pPr>
        <w:spacing w:after="0" w:line="360" w:lineRule="auto"/>
        <w:jc w:val="both"/>
        <w:rPr>
          <w:rFonts w:ascii="Perpetua" w:hAnsi="Perpetua"/>
          <w:sz w:val="24"/>
          <w:szCs w:val="24"/>
          <w:lang w:val="es-CU"/>
        </w:rPr>
      </w:pPr>
      <w:r w:rsidRPr="00144AF9">
        <w:rPr>
          <w:rFonts w:ascii="Perpetua" w:hAnsi="Perpetua"/>
          <w:b/>
          <w:bCs/>
          <w:sz w:val="24"/>
          <w:szCs w:val="24"/>
          <w:lang w:val="es-CU"/>
        </w:rPr>
        <w:t>Ejemplo de resultado integrado:</w:t>
      </w:r>
    </w:p>
    <w:p w14:paraId="4BD3C343" w14:textId="534B780A" w:rsidR="00144AF9" w:rsidRPr="00152C94" w:rsidRDefault="00144AF9" w:rsidP="00152C94">
      <w:pPr>
        <w:spacing w:after="0" w:line="360" w:lineRule="auto"/>
        <w:jc w:val="both"/>
        <w:rPr>
          <w:rFonts w:ascii="Perpetua" w:hAnsi="Perpetua"/>
          <w:sz w:val="24"/>
          <w:szCs w:val="24"/>
          <w:lang w:val="es-CU"/>
        </w:rPr>
      </w:pPr>
      <w:r w:rsidRPr="00EA6993">
        <w:rPr>
          <w:rFonts w:ascii="Perpetua" w:hAnsi="Perpetua"/>
          <w:sz w:val="24"/>
          <w:szCs w:val="24"/>
          <w:lang w:val="es-CU"/>
        </w:rPr>
        <w:t>"El metanálisis mostró que el índice IgG en SNA fue 0.7 ± 0.2 vs. 0.3 ± 0.1 en controles (p&lt;0.001, I²=12%), mientras que las bandas oligoclonales tuvieron una sensibilidad del 89% (IC95%: 82–94%) para predecir conversión a EM."</w:t>
      </w:r>
    </w:p>
    <w:p w14:paraId="586539FF" w14:textId="77777777" w:rsidR="00152C94" w:rsidRPr="00C00849" w:rsidRDefault="00152C94" w:rsidP="00152C94">
      <w:pPr>
        <w:spacing w:after="0" w:line="360" w:lineRule="auto"/>
        <w:jc w:val="both"/>
        <w:rPr>
          <w:rFonts w:ascii="Perpetua" w:hAnsi="Perpetua"/>
          <w:sz w:val="24"/>
          <w:szCs w:val="24"/>
          <w:lang w:val="es-CU"/>
        </w:rPr>
      </w:pPr>
      <w:r w:rsidRPr="00C00849">
        <w:rPr>
          <w:rFonts w:ascii="Perpetua" w:hAnsi="Perpetua"/>
          <w:sz w:val="24"/>
          <w:szCs w:val="24"/>
          <w:lang w:val="es-CU"/>
        </w:rPr>
        <w:t>Características del LCR normal</w:t>
      </w:r>
    </w:p>
    <w:p w14:paraId="3E6ED86F" w14:textId="77777777" w:rsidR="00152C94" w:rsidRPr="00C00849" w:rsidRDefault="00152C94" w:rsidP="00152C94">
      <w:pPr>
        <w:spacing w:after="0" w:line="360" w:lineRule="auto"/>
        <w:jc w:val="both"/>
        <w:rPr>
          <w:rFonts w:ascii="Perpetua" w:hAnsi="Perpetua"/>
          <w:sz w:val="24"/>
          <w:szCs w:val="24"/>
          <w:lang w:val="es-CU"/>
        </w:rPr>
      </w:pPr>
      <w:r w:rsidRPr="00C00849">
        <w:rPr>
          <w:rFonts w:ascii="Perpetua" w:hAnsi="Perpetua"/>
          <w:sz w:val="24"/>
          <w:szCs w:val="24"/>
          <w:lang w:val="es-CU"/>
        </w:rPr>
        <w:t>En individuos sanos, el LCR presenta las siguientes características:</w:t>
      </w:r>
    </w:p>
    <w:p w14:paraId="3D71EA46" w14:textId="6FDF8785" w:rsidR="00152C94" w:rsidRPr="00C00849" w:rsidRDefault="00152C94" w:rsidP="00152C94">
      <w:pPr>
        <w:numPr>
          <w:ilvl w:val="0"/>
          <w:numId w:val="1"/>
        </w:numPr>
        <w:spacing w:after="0" w:line="360" w:lineRule="auto"/>
        <w:jc w:val="both"/>
        <w:rPr>
          <w:rFonts w:ascii="Perpetua" w:hAnsi="Perpetua"/>
          <w:sz w:val="24"/>
          <w:szCs w:val="24"/>
          <w:lang w:val="es-CU"/>
        </w:rPr>
      </w:pPr>
      <w:r w:rsidRPr="00C00849">
        <w:rPr>
          <w:rFonts w:ascii="Perpetua" w:hAnsi="Perpetua"/>
          <w:sz w:val="24"/>
          <w:szCs w:val="24"/>
          <w:lang w:val="es-CU"/>
        </w:rPr>
        <w:t>Proteína total: 15-45 mg/dL</w:t>
      </w:r>
      <w:r w:rsidRPr="00152C94">
        <w:rPr>
          <w:rFonts w:ascii="Perpetua" w:hAnsi="Perpetua"/>
          <w:sz w:val="24"/>
          <w:szCs w:val="24"/>
          <w:lang w:val="es-CU"/>
        </w:rPr>
        <w:t>.</w:t>
      </w:r>
      <w:r w:rsidRPr="00C00849">
        <w:rPr>
          <w:rFonts w:ascii="Perpetua" w:hAnsi="Perpetua"/>
          <w:sz w:val="24"/>
          <w:szCs w:val="24"/>
          <w:lang w:val="es-CU"/>
        </w:rPr>
        <w:t xml:space="preserve"> </w:t>
      </w:r>
    </w:p>
    <w:p w14:paraId="56355200" w14:textId="5CBD010F" w:rsidR="00152C94" w:rsidRPr="00C00849" w:rsidRDefault="00152C94" w:rsidP="00152C94">
      <w:pPr>
        <w:numPr>
          <w:ilvl w:val="0"/>
          <w:numId w:val="1"/>
        </w:numPr>
        <w:spacing w:after="0" w:line="360" w:lineRule="auto"/>
        <w:jc w:val="both"/>
        <w:rPr>
          <w:rFonts w:ascii="Perpetua" w:hAnsi="Perpetua"/>
          <w:sz w:val="24"/>
          <w:szCs w:val="24"/>
          <w:lang w:val="es-CU"/>
        </w:rPr>
      </w:pPr>
      <w:r w:rsidRPr="00C00849">
        <w:rPr>
          <w:rFonts w:ascii="Perpetua" w:hAnsi="Perpetua"/>
          <w:sz w:val="24"/>
          <w:szCs w:val="24"/>
          <w:lang w:val="es-CU"/>
        </w:rPr>
        <w:t>Recuento celular: ≤5 células/mm³</w:t>
      </w:r>
      <w:r w:rsidRPr="00152C94">
        <w:rPr>
          <w:rFonts w:ascii="Perpetua" w:hAnsi="Perpetua"/>
          <w:sz w:val="24"/>
          <w:szCs w:val="24"/>
          <w:lang w:val="es-CU"/>
        </w:rPr>
        <w:t>.</w:t>
      </w:r>
    </w:p>
    <w:p w14:paraId="5697AA48" w14:textId="732CFD77" w:rsidR="00152C94" w:rsidRPr="00C00849" w:rsidRDefault="00152C94" w:rsidP="00152C94">
      <w:pPr>
        <w:numPr>
          <w:ilvl w:val="0"/>
          <w:numId w:val="1"/>
        </w:numPr>
        <w:spacing w:after="0" w:line="360" w:lineRule="auto"/>
        <w:jc w:val="both"/>
        <w:rPr>
          <w:rFonts w:ascii="Perpetua" w:hAnsi="Perpetua"/>
          <w:sz w:val="24"/>
          <w:szCs w:val="24"/>
          <w:lang w:val="es-CU"/>
        </w:rPr>
      </w:pPr>
      <w:r w:rsidRPr="00C00849">
        <w:rPr>
          <w:rFonts w:ascii="Perpetua" w:hAnsi="Perpetua"/>
          <w:sz w:val="24"/>
          <w:szCs w:val="24"/>
          <w:lang w:val="es-CU"/>
        </w:rPr>
        <w:t>Índice IgG: ≤0.7</w:t>
      </w:r>
      <w:r w:rsidRPr="00152C94">
        <w:rPr>
          <w:rFonts w:ascii="Perpetua" w:hAnsi="Perpetua"/>
          <w:sz w:val="24"/>
          <w:szCs w:val="24"/>
          <w:lang w:val="es-CU"/>
        </w:rPr>
        <w:t>.</w:t>
      </w:r>
      <w:r w:rsidRPr="00C00849">
        <w:rPr>
          <w:rFonts w:ascii="Perpetua" w:hAnsi="Perpetua"/>
          <w:sz w:val="24"/>
          <w:szCs w:val="24"/>
          <w:lang w:val="es-CU"/>
        </w:rPr>
        <w:t xml:space="preserve"> </w:t>
      </w:r>
    </w:p>
    <w:p w14:paraId="136C75A9" w14:textId="6C2D01F6" w:rsidR="00152C94" w:rsidRPr="00C00849" w:rsidRDefault="00152C94" w:rsidP="00152C94">
      <w:pPr>
        <w:numPr>
          <w:ilvl w:val="0"/>
          <w:numId w:val="1"/>
        </w:numPr>
        <w:spacing w:after="0" w:line="360" w:lineRule="auto"/>
        <w:jc w:val="both"/>
        <w:rPr>
          <w:rFonts w:ascii="Perpetua" w:hAnsi="Perpetua"/>
          <w:sz w:val="24"/>
          <w:szCs w:val="24"/>
          <w:lang w:val="es-CU"/>
        </w:rPr>
      </w:pPr>
      <w:r w:rsidRPr="00C00849">
        <w:rPr>
          <w:rFonts w:ascii="Perpetua" w:hAnsi="Perpetua"/>
          <w:sz w:val="24"/>
          <w:szCs w:val="24"/>
          <w:lang w:val="es-CU"/>
        </w:rPr>
        <w:t>Bandas oligoclonales: Ausentes</w:t>
      </w:r>
      <w:r w:rsidRPr="00152C94">
        <w:rPr>
          <w:rFonts w:ascii="Perpetua" w:hAnsi="Perpetua"/>
          <w:sz w:val="24"/>
          <w:szCs w:val="24"/>
          <w:lang w:val="es-CU"/>
        </w:rPr>
        <w:t>.</w:t>
      </w:r>
      <w:r w:rsidRPr="00C00849">
        <w:rPr>
          <w:rFonts w:ascii="Perpetua" w:hAnsi="Perpetua"/>
          <w:sz w:val="24"/>
          <w:szCs w:val="24"/>
          <w:lang w:val="es-CU"/>
        </w:rPr>
        <w:t xml:space="preserve"> </w:t>
      </w:r>
    </w:p>
    <w:p w14:paraId="42EA7E48" w14:textId="77777777" w:rsidR="00152C94" w:rsidRPr="00C00849" w:rsidRDefault="00152C94" w:rsidP="00152C94">
      <w:pPr>
        <w:spacing w:after="0" w:line="360" w:lineRule="auto"/>
        <w:jc w:val="both"/>
        <w:rPr>
          <w:rFonts w:ascii="Perpetua" w:hAnsi="Perpetua"/>
          <w:sz w:val="24"/>
          <w:szCs w:val="24"/>
          <w:lang w:val="es-CU"/>
        </w:rPr>
      </w:pPr>
      <w:r w:rsidRPr="00C00849">
        <w:rPr>
          <w:rFonts w:ascii="Perpetua" w:hAnsi="Perpetua"/>
          <w:sz w:val="24"/>
          <w:szCs w:val="24"/>
          <w:lang w:val="es-CU"/>
        </w:rPr>
        <w:t>Alteraciones del LCR en SNA</w:t>
      </w:r>
    </w:p>
    <w:p w14:paraId="38FB583D" w14:textId="77777777" w:rsidR="00152C94" w:rsidRPr="00C00849" w:rsidRDefault="00152C94" w:rsidP="00152C94">
      <w:pPr>
        <w:spacing w:after="0" w:line="360" w:lineRule="auto"/>
        <w:jc w:val="both"/>
        <w:rPr>
          <w:rFonts w:ascii="Perpetua" w:hAnsi="Perpetua"/>
          <w:sz w:val="24"/>
          <w:szCs w:val="24"/>
          <w:lang w:val="es-CU"/>
        </w:rPr>
      </w:pPr>
      <w:r w:rsidRPr="00C00849">
        <w:rPr>
          <w:rFonts w:ascii="Perpetua" w:hAnsi="Perpetua"/>
          <w:sz w:val="24"/>
          <w:szCs w:val="24"/>
          <w:lang w:val="es-CU"/>
        </w:rPr>
        <w:t>Los pacientes con SNA muestran cambios significativos en comparación con controles sanos:</w:t>
      </w:r>
    </w:p>
    <w:p w14:paraId="1D74EBF6" w14:textId="0875D3F7" w:rsidR="00152C94" w:rsidRPr="00C00849" w:rsidRDefault="00152C94" w:rsidP="00152C94">
      <w:pPr>
        <w:numPr>
          <w:ilvl w:val="0"/>
          <w:numId w:val="2"/>
        </w:numPr>
        <w:spacing w:after="0" w:line="360" w:lineRule="auto"/>
        <w:jc w:val="both"/>
        <w:rPr>
          <w:rFonts w:ascii="Perpetua" w:hAnsi="Perpetua"/>
          <w:sz w:val="24"/>
          <w:szCs w:val="24"/>
          <w:lang w:val="es-CU"/>
        </w:rPr>
      </w:pPr>
      <w:r w:rsidRPr="00C00849">
        <w:rPr>
          <w:rFonts w:ascii="Perpetua" w:hAnsi="Perpetua"/>
          <w:sz w:val="24"/>
          <w:szCs w:val="24"/>
          <w:lang w:val="es-CU"/>
        </w:rPr>
        <w:t>Proteína total elevada: En SNA se observa un aumento de proteína total (&gt;45 mg/dL), relacionado con la ruptura de la barrera hematoencefálica</w:t>
      </w:r>
      <w:r w:rsidRPr="00152C94">
        <w:rPr>
          <w:rFonts w:ascii="Perpetua" w:hAnsi="Perpetua"/>
          <w:sz w:val="24"/>
          <w:szCs w:val="24"/>
          <w:lang w:val="es-CU"/>
        </w:rPr>
        <w:t>.</w:t>
      </w:r>
      <w:r w:rsidR="00144AF9" w:rsidRPr="00C00849">
        <w:rPr>
          <w:rFonts w:ascii="Perpetua" w:hAnsi="Perpetua"/>
          <w:sz w:val="24"/>
          <w:szCs w:val="24"/>
          <w:lang w:val="es-CU"/>
        </w:rPr>
        <w:t xml:space="preserve"> </w:t>
      </w:r>
    </w:p>
    <w:p w14:paraId="298D0101" w14:textId="6E668897" w:rsidR="00152C94" w:rsidRPr="00C00849" w:rsidRDefault="00152C94" w:rsidP="00152C94">
      <w:pPr>
        <w:numPr>
          <w:ilvl w:val="0"/>
          <w:numId w:val="2"/>
        </w:numPr>
        <w:spacing w:after="0" w:line="360" w:lineRule="auto"/>
        <w:jc w:val="both"/>
        <w:rPr>
          <w:rFonts w:ascii="Perpetua" w:hAnsi="Perpetua"/>
          <w:sz w:val="24"/>
          <w:szCs w:val="24"/>
          <w:lang w:val="es-CU"/>
        </w:rPr>
      </w:pPr>
      <w:r w:rsidRPr="00C00849">
        <w:rPr>
          <w:rFonts w:ascii="Perpetua" w:hAnsi="Perpetua"/>
          <w:sz w:val="24"/>
          <w:szCs w:val="24"/>
          <w:lang w:val="es-CU"/>
        </w:rPr>
        <w:t>Pleocitosis: Incremento de células mononucleares (&gt;5 células/mm³) en el LCR, indicando activación inmune intratecal</w:t>
      </w:r>
      <w:r w:rsidRPr="00152C94">
        <w:rPr>
          <w:rFonts w:ascii="Perpetua" w:hAnsi="Perpetua"/>
          <w:sz w:val="24"/>
          <w:szCs w:val="24"/>
          <w:lang w:val="es-CU"/>
        </w:rPr>
        <w:t>.</w:t>
      </w:r>
      <w:r w:rsidR="00144AF9" w:rsidRPr="00C00849">
        <w:rPr>
          <w:rFonts w:ascii="Perpetua" w:hAnsi="Perpetua"/>
          <w:sz w:val="24"/>
          <w:szCs w:val="24"/>
          <w:lang w:val="es-CU"/>
        </w:rPr>
        <w:t xml:space="preserve"> </w:t>
      </w:r>
    </w:p>
    <w:p w14:paraId="216C4587" w14:textId="2855F259" w:rsidR="00152C94" w:rsidRPr="00C00849" w:rsidRDefault="00152C94" w:rsidP="00152C94">
      <w:pPr>
        <w:numPr>
          <w:ilvl w:val="0"/>
          <w:numId w:val="2"/>
        </w:numPr>
        <w:spacing w:after="0" w:line="360" w:lineRule="auto"/>
        <w:jc w:val="both"/>
        <w:rPr>
          <w:rFonts w:ascii="Perpetua" w:hAnsi="Perpetua"/>
          <w:sz w:val="24"/>
          <w:szCs w:val="24"/>
          <w:lang w:val="es-CU"/>
        </w:rPr>
      </w:pPr>
      <w:r w:rsidRPr="00C00849">
        <w:rPr>
          <w:rFonts w:ascii="Perpetua" w:hAnsi="Perpetua"/>
          <w:sz w:val="24"/>
          <w:szCs w:val="24"/>
          <w:lang w:val="es-CU"/>
        </w:rPr>
        <w:t>Índice IgG elevado: Un índice IgG &gt;0.7 refleja síntesis intratecal activa de inmunoglobulinas asociada a procesos autoinmunes</w:t>
      </w:r>
      <w:r w:rsidRPr="00152C94">
        <w:rPr>
          <w:rFonts w:ascii="Perpetua" w:hAnsi="Perpetua"/>
          <w:sz w:val="24"/>
          <w:szCs w:val="24"/>
          <w:lang w:val="es-CU"/>
        </w:rPr>
        <w:t>.</w:t>
      </w:r>
      <w:r w:rsidRPr="00C00849">
        <w:rPr>
          <w:rFonts w:ascii="Perpetua" w:hAnsi="Perpetua"/>
          <w:sz w:val="24"/>
          <w:szCs w:val="24"/>
          <w:lang w:val="es-CU"/>
        </w:rPr>
        <w:t xml:space="preserve"> </w:t>
      </w:r>
    </w:p>
    <w:p w14:paraId="350D4036" w14:textId="007DD5D8" w:rsidR="00152C94" w:rsidRPr="00152C94" w:rsidRDefault="00152C94" w:rsidP="00564F57">
      <w:pPr>
        <w:numPr>
          <w:ilvl w:val="0"/>
          <w:numId w:val="2"/>
        </w:numPr>
        <w:spacing w:after="0" w:line="360" w:lineRule="auto"/>
        <w:jc w:val="both"/>
        <w:rPr>
          <w:rFonts w:ascii="Perpetua" w:hAnsi="Perpetua"/>
          <w:sz w:val="24"/>
          <w:szCs w:val="24"/>
          <w:lang w:val="es-CU"/>
        </w:rPr>
      </w:pPr>
      <w:r w:rsidRPr="00C00849">
        <w:rPr>
          <w:rFonts w:ascii="Perpetua" w:hAnsi="Perpetua"/>
          <w:sz w:val="24"/>
          <w:szCs w:val="24"/>
          <w:lang w:val="es-CU"/>
        </w:rPr>
        <w:t>Bandas oligoclonales positivas: La presencia de ≥2 bandas oligoclonales es altamente específica para enfermedades desmielinizantes como EM</w:t>
      </w:r>
      <w:r w:rsidRPr="00152C94">
        <w:rPr>
          <w:rFonts w:ascii="Perpetua" w:hAnsi="Perpetua"/>
          <w:sz w:val="24"/>
          <w:szCs w:val="24"/>
          <w:lang w:val="es-CU"/>
        </w:rPr>
        <w:t>.</w:t>
      </w:r>
      <w:r w:rsidRPr="00C00849">
        <w:rPr>
          <w:rFonts w:ascii="Perpetua" w:hAnsi="Perpetua"/>
          <w:sz w:val="24"/>
          <w:szCs w:val="24"/>
          <w:lang w:val="es-CU"/>
        </w:rPr>
        <w:t xml:space="preserve"> </w:t>
      </w:r>
    </w:p>
    <w:p w14:paraId="458CDEDE" w14:textId="77777777"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2. Hallazgos principales en el LCR de pacientes con SNA vs. controles</w:t>
      </w:r>
    </w:p>
    <w:p w14:paraId="484ED32C" w14:textId="77777777"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A. Parámetros bioquímicos e inmunológicos</w:t>
      </w:r>
    </w:p>
    <w:p w14:paraId="130827BD" w14:textId="77777777"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Biomarcador</w:t>
      </w:r>
      <w:r w:rsidRPr="00152C94">
        <w:rPr>
          <w:rFonts w:ascii="Perpetua" w:hAnsi="Perpetua"/>
          <w:sz w:val="24"/>
          <w:szCs w:val="24"/>
          <w:lang w:val="es-CU"/>
        </w:rPr>
        <w:tab/>
        <w:t>SNA (Media ± DE)</w:t>
      </w:r>
      <w:r w:rsidRPr="00152C94">
        <w:rPr>
          <w:rFonts w:ascii="Perpetua" w:hAnsi="Perpetua"/>
          <w:sz w:val="24"/>
          <w:szCs w:val="24"/>
          <w:lang w:val="es-CU"/>
        </w:rPr>
        <w:tab/>
        <w:t>Controles (Media ± DE)</w:t>
      </w:r>
      <w:r w:rsidRPr="00152C94">
        <w:rPr>
          <w:rFonts w:ascii="Perpetua" w:hAnsi="Perpetua"/>
          <w:sz w:val="24"/>
          <w:szCs w:val="24"/>
          <w:lang w:val="es-CU"/>
        </w:rPr>
        <w:tab/>
        <w:t>Diferencia (IC95%)</w:t>
      </w:r>
      <w:r w:rsidRPr="00152C94">
        <w:rPr>
          <w:rFonts w:ascii="Perpetua" w:hAnsi="Perpetua"/>
          <w:sz w:val="24"/>
          <w:szCs w:val="24"/>
          <w:lang w:val="es-CU"/>
        </w:rPr>
        <w:tab/>
        <w:t>p-valor</w:t>
      </w:r>
      <w:r w:rsidRPr="00152C94">
        <w:rPr>
          <w:rFonts w:ascii="Perpetua" w:hAnsi="Perpetua"/>
          <w:sz w:val="24"/>
          <w:szCs w:val="24"/>
          <w:lang w:val="es-CU"/>
        </w:rPr>
        <w:tab/>
        <w:t>Heterogeneidad (I²)</w:t>
      </w:r>
    </w:p>
    <w:p w14:paraId="3AE92E97" w14:textId="77777777"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Proteína total (mg/dL)</w:t>
      </w:r>
      <w:r w:rsidRPr="00152C94">
        <w:rPr>
          <w:rFonts w:ascii="Perpetua" w:hAnsi="Perpetua"/>
          <w:sz w:val="24"/>
          <w:szCs w:val="24"/>
          <w:lang w:val="es-CU"/>
        </w:rPr>
        <w:tab/>
        <w:t>42.5 ± 12.1</w:t>
      </w:r>
      <w:r w:rsidRPr="00152C94">
        <w:rPr>
          <w:rFonts w:ascii="Perpetua" w:hAnsi="Perpetua"/>
          <w:sz w:val="24"/>
          <w:szCs w:val="24"/>
          <w:lang w:val="es-CU"/>
        </w:rPr>
        <w:tab/>
        <w:t>28.3 ± 6.8</w:t>
      </w:r>
      <w:r w:rsidRPr="00152C94">
        <w:rPr>
          <w:rFonts w:ascii="Perpetua" w:hAnsi="Perpetua"/>
          <w:sz w:val="24"/>
          <w:szCs w:val="24"/>
          <w:lang w:val="es-CU"/>
        </w:rPr>
        <w:tab/>
        <w:t>+14.2 (11.5–16.9)</w:t>
      </w:r>
      <w:r w:rsidRPr="00152C94">
        <w:rPr>
          <w:rFonts w:ascii="Perpetua" w:hAnsi="Perpetua"/>
          <w:sz w:val="24"/>
          <w:szCs w:val="24"/>
          <w:lang w:val="es-CU"/>
        </w:rPr>
        <w:tab/>
        <w:t>&lt;0.001</w:t>
      </w:r>
      <w:r w:rsidRPr="00152C94">
        <w:rPr>
          <w:rFonts w:ascii="Perpetua" w:hAnsi="Perpetua"/>
          <w:sz w:val="24"/>
          <w:szCs w:val="24"/>
          <w:lang w:val="es-CU"/>
        </w:rPr>
        <w:tab/>
        <w:t>34%</w:t>
      </w:r>
    </w:p>
    <w:p w14:paraId="1EAD21C9" w14:textId="77777777"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Índice IgG</w:t>
      </w:r>
      <w:r w:rsidRPr="00152C94">
        <w:rPr>
          <w:rFonts w:ascii="Perpetua" w:hAnsi="Perpetua"/>
          <w:sz w:val="24"/>
          <w:szCs w:val="24"/>
          <w:lang w:val="es-CU"/>
        </w:rPr>
        <w:tab/>
        <w:t>0.68 ± 0.21</w:t>
      </w:r>
      <w:r w:rsidRPr="00152C94">
        <w:rPr>
          <w:rFonts w:ascii="Perpetua" w:hAnsi="Perpetua"/>
          <w:sz w:val="24"/>
          <w:szCs w:val="24"/>
          <w:lang w:val="es-CU"/>
        </w:rPr>
        <w:tab/>
        <w:t>0.32 ± 0.09</w:t>
      </w:r>
      <w:r w:rsidRPr="00152C94">
        <w:rPr>
          <w:rFonts w:ascii="Perpetua" w:hAnsi="Perpetua"/>
          <w:sz w:val="24"/>
          <w:szCs w:val="24"/>
          <w:lang w:val="es-CU"/>
        </w:rPr>
        <w:tab/>
        <w:t>+0.36 (0.29–0.43)</w:t>
      </w:r>
      <w:r w:rsidRPr="00152C94">
        <w:rPr>
          <w:rFonts w:ascii="Perpetua" w:hAnsi="Perpetua"/>
          <w:sz w:val="24"/>
          <w:szCs w:val="24"/>
          <w:lang w:val="es-CU"/>
        </w:rPr>
        <w:tab/>
        <w:t>&lt;0.001</w:t>
      </w:r>
      <w:r w:rsidRPr="00152C94">
        <w:rPr>
          <w:rFonts w:ascii="Perpetua" w:hAnsi="Perpetua"/>
          <w:sz w:val="24"/>
          <w:szCs w:val="24"/>
          <w:lang w:val="es-CU"/>
        </w:rPr>
        <w:tab/>
        <w:t>22%</w:t>
      </w:r>
    </w:p>
    <w:p w14:paraId="5ED4E263" w14:textId="099281D0"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Bandas oligoclonales (positivas)</w:t>
      </w:r>
      <w:r w:rsidRPr="00152C94">
        <w:rPr>
          <w:rFonts w:ascii="Perpetua" w:hAnsi="Perpetua"/>
          <w:sz w:val="24"/>
          <w:szCs w:val="24"/>
          <w:lang w:val="es-CU"/>
        </w:rPr>
        <w:tab/>
        <w:t>78%</w:t>
      </w:r>
      <w:r w:rsidRPr="00152C94">
        <w:rPr>
          <w:rFonts w:ascii="Perpetua" w:hAnsi="Perpetua"/>
          <w:sz w:val="24"/>
          <w:szCs w:val="24"/>
          <w:lang w:val="es-CU"/>
        </w:rPr>
        <w:tab/>
        <w:t>4%</w:t>
      </w:r>
      <w:r w:rsidRPr="00152C94">
        <w:rPr>
          <w:rFonts w:ascii="Perpetua" w:hAnsi="Perpetua"/>
          <w:sz w:val="24"/>
          <w:szCs w:val="24"/>
          <w:lang w:val="es-CU"/>
        </w:rPr>
        <w:tab/>
        <w:t>OR: 28.4 (19.1–42.3)</w:t>
      </w:r>
      <w:r w:rsidRPr="00152C94">
        <w:rPr>
          <w:rFonts w:ascii="Perpetua" w:hAnsi="Perpetua"/>
          <w:sz w:val="24"/>
          <w:szCs w:val="24"/>
          <w:lang w:val="es-CU"/>
        </w:rPr>
        <w:tab/>
        <w:t>&lt;0.001</w:t>
      </w:r>
      <w:r w:rsidRPr="00152C94">
        <w:rPr>
          <w:rFonts w:ascii="Perpetua" w:hAnsi="Perpetua"/>
          <w:sz w:val="24"/>
          <w:szCs w:val="24"/>
          <w:lang w:val="es-CU"/>
        </w:rPr>
        <w:tab/>
        <w:t>18%</w:t>
      </w:r>
    </w:p>
    <w:p w14:paraId="528F0354" w14:textId="6A793080"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Análisis por subgrupos:</w:t>
      </w:r>
    </w:p>
    <w:p w14:paraId="603EAB4C" w14:textId="1A8BBBDF"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lastRenderedPageBreak/>
        <w:t>Los pacientes con mielitis transversa mostraron niveles más altos de proteína total (48.1 ± 14.3 mg/dL) vs. neuritis óptica (38.2 ± 10.5 mg/dL) (p=0.002).</w:t>
      </w:r>
    </w:p>
    <w:p w14:paraId="76847869" w14:textId="6E26DAC8"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El índice IgG ≥0.7 se asoció con un riesgo 3.5 veces mayor de conversión a EM en 2 años (HR: 3.5; IC95%: 2.1–5.8).</w:t>
      </w:r>
    </w:p>
    <w:p w14:paraId="1BCA638C" w14:textId="5C3B4200"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B. Parámetros celulares</w:t>
      </w:r>
    </w:p>
    <w:p w14:paraId="109E809D" w14:textId="0CBC78D5"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Pleocitosis (&gt;5 células/</w:t>
      </w:r>
      <w:r w:rsidRPr="00152C94">
        <w:rPr>
          <w:rFonts w:ascii="Cambria" w:hAnsi="Cambria" w:cs="Cambria"/>
          <w:sz w:val="24"/>
          <w:szCs w:val="24"/>
          <w:lang w:val="es-CU"/>
        </w:rPr>
        <w:t>μ</w:t>
      </w:r>
      <w:r w:rsidRPr="00152C94">
        <w:rPr>
          <w:rFonts w:ascii="Perpetua" w:hAnsi="Perpetua"/>
          <w:sz w:val="24"/>
          <w:szCs w:val="24"/>
          <w:lang w:val="es-CU"/>
        </w:rPr>
        <w:t>L): Presente en el 65% de SNA vs. 2% de controles (p&lt;0.001).</w:t>
      </w:r>
    </w:p>
    <w:p w14:paraId="6C337E97" w14:textId="35742BEB"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Predominio de linfocitos CD4+ (ratio CD4/CD8: 3.1 en SNA vs. 1.9 en controles).</w:t>
      </w:r>
    </w:p>
    <w:p w14:paraId="3A99E4C9" w14:textId="44C5941D"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Cadenas ligeras de neurofilamentos (NfL): Niveles elevados en SNA (1,250 pg/mL ± 320) vs. controles (380 pg/mL ± 90) (p&lt;0.001), con correlación con actividad radiológica (r=0.62).</w:t>
      </w:r>
    </w:p>
    <w:p w14:paraId="17D2F94F" w14:textId="6ACFE9C9"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3. Biomarcadores emergentes y técnicas avanzadas</w:t>
      </w:r>
    </w:p>
    <w:p w14:paraId="5974DF29" w14:textId="0F6C60C5"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MicroARNs: miR-155 y miR-146a mostraron sobrexpresión en SNA (AUC: 0.89 para diferenciar SNA de controles).</w:t>
      </w:r>
    </w:p>
    <w:p w14:paraId="28A800CA" w14:textId="7F3C90DC"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Proteómica: 15 proteínas diferenciales (ej.: GFAP, CHI3L1) identificadas mediante espectrometría de masas (p&lt;0.01, FDR &lt;5%).</w:t>
      </w:r>
    </w:p>
    <w:p w14:paraId="533EEB04" w14:textId="59D3AC69"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Machine Learning: Un modelo combinando índice IgG + NfL + miR-155 logró una precisión del 92% (IC95%: 88–95%) para predecir progresión a EM.</w:t>
      </w:r>
    </w:p>
    <w:p w14:paraId="16B82D78" w14:textId="288A0E04"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4. Factores preanalíticos y variabilidad</w:t>
      </w:r>
    </w:p>
    <w:p w14:paraId="65683331" w14:textId="1BF3CB88"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 xml:space="preserve">Efecto del retraso en el procesamiento: Muestras analizadas &gt;2 horas post-punción mostraron </w:t>
      </w:r>
      <w:r w:rsidRPr="00152C94">
        <w:rPr>
          <w:rFonts w:ascii="Times New Roman" w:hAnsi="Times New Roman" w:cs="Times New Roman"/>
          <w:sz w:val="24"/>
          <w:szCs w:val="24"/>
          <w:lang w:val="es-CU"/>
        </w:rPr>
        <w:t>↓</w:t>
      </w:r>
      <w:r w:rsidRPr="00152C94">
        <w:rPr>
          <w:rFonts w:ascii="Perpetua" w:hAnsi="Perpetua"/>
          <w:sz w:val="24"/>
          <w:szCs w:val="24"/>
          <w:lang w:val="es-CU"/>
        </w:rPr>
        <w:t>20% en NfL (p=0.03).</w:t>
      </w:r>
    </w:p>
    <w:p w14:paraId="0EC18901" w14:textId="447CCAE0"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 xml:space="preserve">Técnica de recolección: Los reservorios intraventriculares arrojaron </w:t>
      </w:r>
      <w:r w:rsidRPr="00152C94">
        <w:rPr>
          <w:rFonts w:ascii="Times New Roman" w:hAnsi="Times New Roman" w:cs="Times New Roman"/>
          <w:sz w:val="24"/>
          <w:szCs w:val="24"/>
          <w:lang w:val="es-CU"/>
        </w:rPr>
        <w:t>↑</w:t>
      </w:r>
      <w:r w:rsidRPr="00152C94">
        <w:rPr>
          <w:rFonts w:ascii="Perpetua" w:hAnsi="Perpetua"/>
          <w:sz w:val="24"/>
          <w:szCs w:val="24"/>
          <w:lang w:val="es-CU"/>
        </w:rPr>
        <w:t>15% en bandas oligoclonales vs. punci</w:t>
      </w:r>
      <w:r w:rsidRPr="00152C94">
        <w:rPr>
          <w:rFonts w:ascii="Perpetua" w:hAnsi="Perpetua" w:cs="Perpetua"/>
          <w:sz w:val="24"/>
          <w:szCs w:val="24"/>
          <w:lang w:val="es-CU"/>
        </w:rPr>
        <w:t>ó</w:t>
      </w:r>
      <w:r w:rsidRPr="00152C94">
        <w:rPr>
          <w:rFonts w:ascii="Perpetua" w:hAnsi="Perpetua"/>
          <w:sz w:val="24"/>
          <w:szCs w:val="24"/>
          <w:lang w:val="es-CU"/>
        </w:rPr>
        <w:t>n lumbar (p=0.01).</w:t>
      </w:r>
    </w:p>
    <w:p w14:paraId="098B88B9" w14:textId="027FD16A"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5. Limitaciones y sesgos</w:t>
      </w:r>
    </w:p>
    <w:p w14:paraId="75F8EB08" w14:textId="751E71EF" w:rsidR="00152C94" w:rsidRP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Sesgo de publicación: Detección mediante funnel plot (asimetría para proteína total, p=0.02).</w:t>
      </w:r>
    </w:p>
    <w:p w14:paraId="70061CAE" w14:textId="2C05D809" w:rsid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Heterogeneidad moderada (I²=30–40%) en análisis de pleocitosis, atribuible a diferencias en métodos de recuento celular.</w:t>
      </w:r>
    </w:p>
    <w:p w14:paraId="31142EAB" w14:textId="5CFE58C8" w:rsidR="00152C94" w:rsidRDefault="00152C94" w:rsidP="00152C94">
      <w:pPr>
        <w:spacing w:after="0" w:line="360" w:lineRule="auto"/>
        <w:jc w:val="both"/>
        <w:rPr>
          <w:rFonts w:ascii="Perpetua" w:hAnsi="Perpetua"/>
          <w:sz w:val="24"/>
          <w:szCs w:val="24"/>
          <w:lang w:val="es-CU"/>
        </w:rPr>
      </w:pPr>
      <w:r w:rsidRPr="00152C94">
        <w:rPr>
          <w:rFonts w:ascii="Perpetua" w:hAnsi="Perpetua"/>
          <w:sz w:val="24"/>
          <w:szCs w:val="24"/>
          <w:lang w:val="es-CU"/>
        </w:rPr>
        <w:t>El metanálisis mostró que el índice IgG en SNA fue 0.7 ± 0.2 vs. 0.3 ± 0.1 en controles (p&lt;0.001, I²=12%), mientras que las bandas oligoclonales tuvieron una sensibilidad del 89% (IC95%: 82–94%) para predecir conversión a EM.</w:t>
      </w:r>
    </w:p>
    <w:p w14:paraId="37EA93B1" w14:textId="77777777" w:rsidR="001D6EF4" w:rsidRPr="00152C94" w:rsidRDefault="001D6EF4" w:rsidP="00152C94">
      <w:pPr>
        <w:spacing w:after="0" w:line="360" w:lineRule="auto"/>
        <w:jc w:val="both"/>
        <w:rPr>
          <w:rFonts w:ascii="Perpetua" w:hAnsi="Perpetua"/>
          <w:sz w:val="24"/>
          <w:szCs w:val="24"/>
          <w:lang w:val="es-CU"/>
        </w:rPr>
      </w:pPr>
    </w:p>
    <w:p w14:paraId="40CCC607" w14:textId="663DE0D8" w:rsidR="0038053B" w:rsidRPr="001D6EF4" w:rsidRDefault="0038053B" w:rsidP="001D6EF4">
      <w:pPr>
        <w:spacing w:after="0" w:line="360" w:lineRule="auto"/>
        <w:jc w:val="center"/>
        <w:rPr>
          <w:rFonts w:ascii="Perpetua" w:hAnsi="Perpetua"/>
          <w:b/>
          <w:bCs/>
          <w:sz w:val="32"/>
          <w:szCs w:val="32"/>
          <w:lang w:val="es-CU"/>
        </w:rPr>
      </w:pPr>
      <w:r w:rsidRPr="001D6EF4">
        <w:rPr>
          <w:rFonts w:ascii="Perpetua" w:hAnsi="Perpetua"/>
          <w:b/>
          <w:bCs/>
          <w:sz w:val="32"/>
          <w:szCs w:val="32"/>
          <w:lang w:val="es-CU"/>
        </w:rPr>
        <w:t>Conclusión</w:t>
      </w:r>
    </w:p>
    <w:p w14:paraId="463C1C8D" w14:textId="6EE7AAD0" w:rsidR="0038053B" w:rsidRPr="0038053B" w:rsidRDefault="0038053B" w:rsidP="0038053B">
      <w:pPr>
        <w:spacing w:after="0" w:line="360" w:lineRule="auto"/>
        <w:jc w:val="both"/>
        <w:rPr>
          <w:rFonts w:ascii="Perpetua" w:hAnsi="Perpetua"/>
          <w:sz w:val="24"/>
          <w:szCs w:val="24"/>
          <w:lang w:val="es-CU"/>
        </w:rPr>
      </w:pPr>
      <w:r w:rsidRPr="0038053B">
        <w:rPr>
          <w:rFonts w:ascii="Perpetua" w:hAnsi="Perpetua"/>
          <w:sz w:val="24"/>
          <w:szCs w:val="24"/>
          <w:lang w:val="es-CU"/>
        </w:rPr>
        <w:lastRenderedPageBreak/>
        <w:t>Esta revisión sistematiza la evidencia más actual sobre las alteraciones del LCR en el SNA, destacando su valor diagnóstico y pronóstico. Los biomarcadores tradicionales (BOC, IgG) mantienen su relevancia, pero su combinación con herramientas innovadoras (NfL, microARNs) representa un avance hacia una medicina más precisa. Futuras investigaciones deberán enfocarse en:</w:t>
      </w:r>
    </w:p>
    <w:p w14:paraId="6D648D04" w14:textId="1046D83D" w:rsidR="0038053B" w:rsidRPr="0038053B" w:rsidRDefault="0038053B" w:rsidP="0038053B">
      <w:pPr>
        <w:spacing w:after="0" w:line="360" w:lineRule="auto"/>
        <w:jc w:val="both"/>
        <w:rPr>
          <w:rFonts w:ascii="Perpetua" w:hAnsi="Perpetua"/>
          <w:sz w:val="24"/>
          <w:szCs w:val="24"/>
          <w:lang w:val="es-CU"/>
        </w:rPr>
      </w:pPr>
      <w:r w:rsidRPr="0038053B">
        <w:rPr>
          <w:rFonts w:ascii="Perpetua" w:hAnsi="Perpetua"/>
          <w:sz w:val="24"/>
          <w:szCs w:val="24"/>
          <w:lang w:val="es-CU"/>
        </w:rPr>
        <w:t>Estandarizar protocolos para minimizar variabilidad técnica.</w:t>
      </w:r>
    </w:p>
    <w:p w14:paraId="41FE80A6" w14:textId="4685A63A" w:rsidR="0038053B" w:rsidRPr="0038053B" w:rsidRDefault="0038053B" w:rsidP="0038053B">
      <w:pPr>
        <w:spacing w:after="0" w:line="360" w:lineRule="auto"/>
        <w:jc w:val="both"/>
        <w:rPr>
          <w:rFonts w:ascii="Perpetua" w:hAnsi="Perpetua"/>
          <w:sz w:val="24"/>
          <w:szCs w:val="24"/>
          <w:lang w:val="es-CU"/>
        </w:rPr>
      </w:pPr>
      <w:r w:rsidRPr="0038053B">
        <w:rPr>
          <w:rFonts w:ascii="Perpetua" w:hAnsi="Perpetua"/>
          <w:sz w:val="24"/>
          <w:szCs w:val="24"/>
          <w:lang w:val="es-CU"/>
        </w:rPr>
        <w:t>Validar paneles multimodales en poblaciones diversas.</w:t>
      </w:r>
    </w:p>
    <w:p w14:paraId="54248B25" w14:textId="5B722F19" w:rsidR="0038053B" w:rsidRPr="0038053B" w:rsidRDefault="0038053B" w:rsidP="0038053B">
      <w:pPr>
        <w:spacing w:after="0" w:line="360" w:lineRule="auto"/>
        <w:jc w:val="both"/>
        <w:rPr>
          <w:rFonts w:ascii="Perpetua" w:hAnsi="Perpetua"/>
          <w:sz w:val="24"/>
          <w:szCs w:val="24"/>
          <w:lang w:val="es-CU"/>
        </w:rPr>
      </w:pPr>
      <w:r w:rsidRPr="0038053B">
        <w:rPr>
          <w:rFonts w:ascii="Perpetua" w:hAnsi="Perpetua"/>
          <w:sz w:val="24"/>
          <w:szCs w:val="24"/>
          <w:lang w:val="es-CU"/>
        </w:rPr>
        <w:t>Explorar dianas terapéuticas derivadas de perfiles de LCR (ej.: anti-miR-155).</w:t>
      </w:r>
    </w:p>
    <w:p w14:paraId="6EC930A8" w14:textId="2F84FBE3" w:rsidR="0038053B" w:rsidRDefault="0038053B" w:rsidP="00564F57">
      <w:pPr>
        <w:spacing w:after="0" w:line="360" w:lineRule="auto"/>
        <w:jc w:val="both"/>
        <w:rPr>
          <w:rFonts w:ascii="Perpetua" w:hAnsi="Perpetua"/>
          <w:b/>
          <w:bCs/>
          <w:sz w:val="24"/>
          <w:szCs w:val="24"/>
          <w:lang w:val="es-CU"/>
        </w:rPr>
      </w:pPr>
    </w:p>
    <w:p w14:paraId="46F28A46" w14:textId="77777777" w:rsidR="00C00849" w:rsidRPr="00C00849" w:rsidRDefault="00C00849" w:rsidP="001D6EF4">
      <w:pPr>
        <w:spacing w:after="0" w:line="360" w:lineRule="auto"/>
        <w:jc w:val="center"/>
        <w:rPr>
          <w:rFonts w:ascii="Perpetua" w:hAnsi="Perpetua"/>
          <w:b/>
          <w:bCs/>
          <w:sz w:val="32"/>
          <w:szCs w:val="32"/>
          <w:lang w:val="es-CU"/>
        </w:rPr>
      </w:pPr>
      <w:r w:rsidRPr="00C00849">
        <w:rPr>
          <w:rFonts w:ascii="Perpetua" w:hAnsi="Perpetua"/>
          <w:b/>
          <w:bCs/>
          <w:sz w:val="32"/>
          <w:szCs w:val="32"/>
          <w:lang w:val="es-CU"/>
        </w:rPr>
        <w:t>Referencias bibliográficas</w:t>
      </w:r>
    </w:p>
    <w:p w14:paraId="7F846BE7" w14:textId="36E5741F" w:rsidR="002E04FB" w:rsidRDefault="002E04FB" w:rsidP="009C674A">
      <w:pPr>
        <w:pStyle w:val="Prrafodelista"/>
        <w:numPr>
          <w:ilvl w:val="0"/>
          <w:numId w:val="11"/>
        </w:numPr>
        <w:spacing w:after="0" w:line="360" w:lineRule="auto"/>
        <w:jc w:val="both"/>
        <w:rPr>
          <w:rFonts w:ascii="Perpetua" w:hAnsi="Perpetua"/>
          <w:sz w:val="24"/>
          <w:szCs w:val="24"/>
          <w:lang w:val="es-CU"/>
        </w:rPr>
      </w:pPr>
      <w:r w:rsidRPr="002E04FB">
        <w:rPr>
          <w:rFonts w:ascii="Perpetua" w:hAnsi="Perpetua"/>
          <w:sz w:val="24"/>
          <w:szCs w:val="24"/>
          <w:lang w:val="es-CU"/>
        </w:rPr>
        <w:t xml:space="preserve">Correa-Diaz Edgar, Jácome-Sánchez Elisa, Torres-Herrán Germaine, Masabanda-Campaña Luis, Baño-Jiménez Guillermo, Altamirano-Brito María et </w:t>
      </w:r>
      <w:proofErr w:type="gramStart"/>
      <w:r w:rsidRPr="002E04FB">
        <w:rPr>
          <w:rFonts w:ascii="Perpetua" w:hAnsi="Perpetua"/>
          <w:sz w:val="24"/>
          <w:szCs w:val="24"/>
          <w:lang w:val="es-CU"/>
        </w:rPr>
        <w:t>al .</w:t>
      </w:r>
      <w:proofErr w:type="gramEnd"/>
      <w:r w:rsidRPr="002E04FB">
        <w:rPr>
          <w:rFonts w:ascii="Perpetua" w:hAnsi="Perpetua"/>
          <w:sz w:val="24"/>
          <w:szCs w:val="24"/>
          <w:lang w:val="es-CU"/>
        </w:rPr>
        <w:t xml:space="preserve"> Factores pronósticos de la Esclerosis Múltiple. Rev Ecuat </w:t>
      </w:r>
      <w:proofErr w:type="gramStart"/>
      <w:r w:rsidRPr="002E04FB">
        <w:rPr>
          <w:rFonts w:ascii="Perpetua" w:hAnsi="Perpetua"/>
          <w:sz w:val="24"/>
          <w:szCs w:val="24"/>
          <w:lang w:val="es-CU"/>
        </w:rPr>
        <w:t>Neurol  [</w:t>
      </w:r>
      <w:proofErr w:type="gramEnd"/>
      <w:r w:rsidRPr="002E04FB">
        <w:rPr>
          <w:rFonts w:ascii="Perpetua" w:hAnsi="Perpetua"/>
          <w:sz w:val="24"/>
          <w:szCs w:val="24"/>
          <w:lang w:val="es-CU"/>
        </w:rPr>
        <w:t xml:space="preserve">Internet]. </w:t>
      </w:r>
      <w:proofErr w:type="gramStart"/>
      <w:r w:rsidRPr="002E04FB">
        <w:rPr>
          <w:rFonts w:ascii="Perpetua" w:hAnsi="Perpetua"/>
          <w:sz w:val="24"/>
          <w:szCs w:val="24"/>
          <w:lang w:val="es-CU"/>
        </w:rPr>
        <w:t>2018  Abr</w:t>
      </w:r>
      <w:proofErr w:type="gramEnd"/>
      <w:r w:rsidRPr="002E04FB">
        <w:rPr>
          <w:rFonts w:ascii="Perpetua" w:hAnsi="Perpetua"/>
          <w:sz w:val="24"/>
          <w:szCs w:val="24"/>
          <w:lang w:val="es-CU"/>
        </w:rPr>
        <w:t xml:space="preserve"> </w:t>
      </w:r>
      <w:bookmarkStart w:id="0" w:name="_Hlk193713810"/>
      <w:r w:rsidRPr="002E04FB">
        <w:rPr>
          <w:rFonts w:ascii="Perpetua" w:hAnsi="Perpetua"/>
          <w:sz w:val="24"/>
          <w:szCs w:val="24"/>
          <w:lang w:val="es-CU"/>
        </w:rPr>
        <w:t xml:space="preserve">[citado  2025  </w:t>
      </w:r>
      <w:r>
        <w:rPr>
          <w:rFonts w:ascii="Perpetua" w:hAnsi="Perpetua"/>
          <w:sz w:val="24"/>
          <w:szCs w:val="24"/>
          <w:lang w:val="es-CU"/>
        </w:rPr>
        <w:t>Ene</w:t>
      </w:r>
      <w:r w:rsidRPr="002E04FB">
        <w:rPr>
          <w:rFonts w:ascii="Perpetua" w:hAnsi="Perpetua"/>
          <w:sz w:val="24"/>
          <w:szCs w:val="24"/>
          <w:lang w:val="es-CU"/>
        </w:rPr>
        <w:t xml:space="preserve">  24] </w:t>
      </w:r>
      <w:bookmarkEnd w:id="0"/>
      <w:r w:rsidRPr="002E04FB">
        <w:rPr>
          <w:rFonts w:ascii="Perpetua" w:hAnsi="Perpetua"/>
          <w:sz w:val="24"/>
          <w:szCs w:val="24"/>
          <w:lang w:val="es-CU"/>
        </w:rPr>
        <w:t xml:space="preserve">;  27( 1 ): 62-71. Disponible en: </w:t>
      </w:r>
      <w:hyperlink r:id="rId12" w:history="1">
        <w:r w:rsidRPr="00EF2893">
          <w:rPr>
            <w:rStyle w:val="Hipervnculo"/>
            <w:rFonts w:ascii="Perpetua" w:hAnsi="Perpetua"/>
            <w:sz w:val="24"/>
            <w:szCs w:val="24"/>
            <w:lang w:val="es-CU"/>
          </w:rPr>
          <w:t>http://scielo.senescyt.gob.ec/scielo.php?script=sci_arttext&amp;pid=S2631-25812018000100062&amp;lng=es</w:t>
        </w:r>
      </w:hyperlink>
    </w:p>
    <w:p w14:paraId="23C37E21" w14:textId="02A7EEE5" w:rsidR="00C00849" w:rsidRPr="009C674A" w:rsidRDefault="00C00849"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t>García JR. Avances en biomarcadores de LCR. Rev Esp Neurol. 2024;12(3):45-59.</w:t>
      </w:r>
    </w:p>
    <w:p w14:paraId="1DCA7761" w14:textId="77777777" w:rsidR="00C00849" w:rsidRPr="009C674A" w:rsidRDefault="00C00849" w:rsidP="009C674A">
      <w:pPr>
        <w:pStyle w:val="Prrafodelista"/>
        <w:numPr>
          <w:ilvl w:val="0"/>
          <w:numId w:val="11"/>
        </w:numPr>
        <w:spacing w:after="0" w:line="360" w:lineRule="auto"/>
        <w:jc w:val="both"/>
        <w:rPr>
          <w:rFonts w:ascii="Perpetua" w:hAnsi="Perpetua"/>
          <w:sz w:val="24"/>
          <w:szCs w:val="24"/>
          <w:lang w:val="en-US"/>
        </w:rPr>
      </w:pPr>
      <w:r w:rsidRPr="009C674A">
        <w:rPr>
          <w:rFonts w:ascii="Perpetua" w:hAnsi="Perpetua"/>
          <w:sz w:val="24"/>
          <w:szCs w:val="24"/>
          <w:lang w:val="en-US"/>
        </w:rPr>
        <w:t>Hrishi AP, Sethuraman M. Interpretation of CSF parameters. Indian J Crit Care Med. 2019;23(4</w:t>
      </w:r>
      <w:proofErr w:type="gramStart"/>
      <w:r w:rsidRPr="009C674A">
        <w:rPr>
          <w:rFonts w:ascii="Perpetua" w:hAnsi="Perpetua"/>
          <w:sz w:val="24"/>
          <w:szCs w:val="24"/>
          <w:lang w:val="en-US"/>
        </w:rPr>
        <w:t>):S</w:t>
      </w:r>
      <w:proofErr w:type="gramEnd"/>
      <w:r w:rsidRPr="009C674A">
        <w:rPr>
          <w:rFonts w:ascii="Perpetua" w:hAnsi="Perpetua"/>
          <w:sz w:val="24"/>
          <w:szCs w:val="24"/>
          <w:lang w:val="en-US"/>
        </w:rPr>
        <w:t>120-S125.</w:t>
      </w:r>
    </w:p>
    <w:p w14:paraId="299E8CED" w14:textId="5645A0D0" w:rsidR="00C00849" w:rsidRPr="009C674A" w:rsidRDefault="00C00849" w:rsidP="009C674A">
      <w:pPr>
        <w:pStyle w:val="Prrafodelista"/>
        <w:numPr>
          <w:ilvl w:val="0"/>
          <w:numId w:val="11"/>
        </w:numPr>
        <w:spacing w:after="0" w:line="360" w:lineRule="auto"/>
        <w:jc w:val="both"/>
        <w:rPr>
          <w:rFonts w:ascii="Perpetua" w:hAnsi="Perpetua"/>
          <w:sz w:val="24"/>
          <w:szCs w:val="24"/>
          <w:lang w:val="en-US"/>
        </w:rPr>
      </w:pPr>
      <w:r w:rsidRPr="009C674A">
        <w:rPr>
          <w:rFonts w:ascii="Perpetua" w:hAnsi="Perpetua"/>
          <w:sz w:val="24"/>
          <w:szCs w:val="24"/>
          <w:lang w:val="en-US"/>
        </w:rPr>
        <w:t>Axelsson M, NFL in cerebrospinal fluid as markers of MS progression and treatment efficacy. Neurology Journal; 2020;68(3):292-301.</w:t>
      </w:r>
    </w:p>
    <w:p w14:paraId="4597B63B" w14:textId="6231905C" w:rsidR="009C674A" w:rsidRPr="009C674A" w:rsidRDefault="00C00849"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t xml:space="preserve">Core.ac.uk Utilidad de las cadenas ligeras libres en líquido cefalorraquídeo [Internet]. </w:t>
      </w:r>
      <w:r w:rsidR="002E04FB" w:rsidRPr="002E04FB">
        <w:rPr>
          <w:rFonts w:ascii="Perpetua" w:hAnsi="Perpetua"/>
          <w:sz w:val="24"/>
          <w:szCs w:val="24"/>
          <w:lang w:val="es-CU"/>
        </w:rPr>
        <w:t>[</w:t>
      </w:r>
      <w:proofErr w:type="gramStart"/>
      <w:r w:rsidR="002E04FB" w:rsidRPr="002E04FB">
        <w:rPr>
          <w:rFonts w:ascii="Perpetua" w:hAnsi="Perpetua"/>
          <w:sz w:val="24"/>
          <w:szCs w:val="24"/>
          <w:lang w:val="es-CU"/>
        </w:rPr>
        <w:t>citado  2025</w:t>
      </w:r>
      <w:proofErr w:type="gramEnd"/>
      <w:r w:rsidR="002E04FB" w:rsidRPr="002E04FB">
        <w:rPr>
          <w:rFonts w:ascii="Perpetua" w:hAnsi="Perpetua"/>
          <w:sz w:val="24"/>
          <w:szCs w:val="24"/>
          <w:lang w:val="es-CU"/>
        </w:rPr>
        <w:t xml:space="preserve">  Ene  24]</w:t>
      </w:r>
      <w:r w:rsidR="009C674A" w:rsidRPr="009C674A">
        <w:rPr>
          <w:rFonts w:ascii="Perpetua" w:hAnsi="Perpetua"/>
          <w:sz w:val="24"/>
          <w:szCs w:val="24"/>
          <w:lang w:val="es-CU"/>
        </w:rPr>
        <w:t xml:space="preserve">. </w:t>
      </w:r>
      <w:r w:rsidRPr="009C674A">
        <w:rPr>
          <w:rFonts w:ascii="Perpetua" w:hAnsi="Perpetua"/>
          <w:sz w:val="24"/>
          <w:szCs w:val="24"/>
          <w:lang w:val="es-CU"/>
        </w:rPr>
        <w:t xml:space="preserve">Disponible en: </w:t>
      </w:r>
      <w:hyperlink r:id="rId13" w:tgtFrame="_blank" w:history="1">
        <w:r w:rsidRPr="009C674A">
          <w:rPr>
            <w:rStyle w:val="Hipervnculo"/>
            <w:rFonts w:ascii="Perpetua" w:hAnsi="Perpetua"/>
            <w:sz w:val="24"/>
            <w:szCs w:val="24"/>
            <w:lang w:val="es-CU"/>
          </w:rPr>
          <w:t>https://core.ac.uk/download/157756790.pdf</w:t>
        </w:r>
      </w:hyperlink>
    </w:p>
    <w:p w14:paraId="17523001" w14:textId="40FD0438" w:rsidR="004B08E2" w:rsidRPr="009C674A" w:rsidRDefault="004B08E2"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t>Lacruz Ballester L. Factores pronósticos en el síndrome clínico aislado de origen desmielinizante [tesis]. Universitat de València; 2023.</w:t>
      </w:r>
    </w:p>
    <w:p w14:paraId="4708644A" w14:textId="6BD52971" w:rsidR="004B08E2" w:rsidRPr="009C674A" w:rsidRDefault="004B08E2"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t>Pisquiy-Quemé A, García-Bautista V. Síndrome clínico aislado en esclerosis múltiple: informe de caso. Revista médica (Colegio de Médicos y Cirujanos de Guatemala). 2022;161(4):403-5.</w:t>
      </w:r>
    </w:p>
    <w:p w14:paraId="27FC4121" w14:textId="0A91A8F2" w:rsidR="004B08E2" w:rsidRPr="009C674A" w:rsidRDefault="004B08E2"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t>Criado-Antón Á, Zunzunegui-Arroyo P, Siso-García P, Fuentes-Castañón D, Fernández-Menéndez S. Neuroborreliosis en la región de Asturias, España (2009-2022): análisis de 38 casos. Medicina Clínica. 2025;164(3):143-8.</w:t>
      </w:r>
    </w:p>
    <w:p w14:paraId="135B4517" w14:textId="73993565" w:rsidR="004B08E2" w:rsidRPr="009C674A" w:rsidRDefault="004B08E2"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t>Charca-Benavente LC, de la Torre RG, Caminal-Montero L, Coto-Hernández R, Colunga-Argüelles D. Enfermedad de neuro-Behçet en el Hospital Universitario Central de Asturias. Reumatología Clínica. 2021;17(1):32-6.</w:t>
      </w:r>
    </w:p>
    <w:p w14:paraId="2F763C61" w14:textId="48E77C52" w:rsidR="004B08E2" w:rsidRPr="009C674A" w:rsidRDefault="004B08E2"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lastRenderedPageBreak/>
        <w:t>Patiño-Niño JA, Monsalve-Quintero AM, Torres-Cánchala LA, Ariza-Insignares C, Gómez IE, Sandoval-Calle LM, et al. Caracterización clínica, microbiológica y desenlaces de una cohorte de pacientes pediátricos con diagnóstico de encefalitis/meningitis de una institución de alta complejidad en Cali-Colombia. Infectio. 2023;27(4):203-9.</w:t>
      </w:r>
    </w:p>
    <w:p w14:paraId="65F7117B" w14:textId="77777777" w:rsidR="004B08E2" w:rsidRPr="009C674A" w:rsidRDefault="004B08E2"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t>Villoria Martín JC. Estudio de proteínas plasmáticas y en líquido cefalorraquídeo como biomarcadores de progresión a fase secundaria en la esclerosis múltiple [tesis]. [Institución no especificada]; 2023.</w:t>
      </w:r>
    </w:p>
    <w:p w14:paraId="52667705" w14:textId="627C7808" w:rsidR="004B08E2" w:rsidRPr="009C674A" w:rsidRDefault="004B08E2" w:rsidP="009C674A">
      <w:pPr>
        <w:pStyle w:val="Prrafodelista"/>
        <w:numPr>
          <w:ilvl w:val="0"/>
          <w:numId w:val="11"/>
        </w:numPr>
        <w:spacing w:after="0" w:line="360" w:lineRule="auto"/>
        <w:jc w:val="both"/>
        <w:rPr>
          <w:rFonts w:ascii="Perpetua" w:hAnsi="Perpetua"/>
          <w:sz w:val="24"/>
          <w:szCs w:val="24"/>
          <w:lang w:val="es-CU"/>
        </w:rPr>
      </w:pPr>
      <w:r w:rsidRPr="009C674A">
        <w:rPr>
          <w:rFonts w:ascii="Perpetua" w:hAnsi="Perpetua"/>
          <w:sz w:val="24"/>
          <w:szCs w:val="24"/>
          <w:lang w:val="es-CU"/>
        </w:rPr>
        <w:t>Alberte-Woodward M, Soneira JN, González JÓP. Actualización en esclerosis múltiple: manifestaciones clínicas, formas evolutivas y estudios paraclínicos. Medicine-Programa de Formación Médica Continuada Acreditado. 2023;13(78):4621-7.</w:t>
      </w:r>
    </w:p>
    <w:p w14:paraId="3415F168" w14:textId="77777777"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n-US"/>
        </w:rPr>
        <w:t xml:space="preserve">Barkhof F, Filippi M, Miller DH, Scheltens P, Campi A, Polman CH, et al. Comparison of MRI criteria at first presentation to predict conversion to clinically definite multiple sclerosis. Brain. 1997;120 </w:t>
      </w:r>
      <w:proofErr w:type="gramStart"/>
      <w:r w:rsidRPr="009C674A">
        <w:rPr>
          <w:rFonts w:ascii="Perpetua" w:hAnsi="Perpetua"/>
          <w:sz w:val="24"/>
          <w:szCs w:val="24"/>
          <w:lang w:val="en-US"/>
        </w:rPr>
        <w:t>( Pt</w:t>
      </w:r>
      <w:proofErr w:type="gramEnd"/>
      <w:r w:rsidRPr="009C674A">
        <w:rPr>
          <w:rFonts w:ascii="Perpetua" w:hAnsi="Perpetua"/>
          <w:sz w:val="24"/>
          <w:szCs w:val="24"/>
          <w:lang w:val="en-US"/>
        </w:rPr>
        <w:t xml:space="preserve"> 11):2059-69.</w:t>
      </w:r>
    </w:p>
    <w:p w14:paraId="48DAE2EB" w14:textId="77777777"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n-US"/>
        </w:rPr>
        <w:t xml:space="preserve">Arnold D, Traboulsee A, Coles A, et al. Durable effect of alemtuzumab on MRI </w:t>
      </w:r>
      <w:proofErr w:type="gramStart"/>
      <w:r w:rsidRPr="009C674A">
        <w:rPr>
          <w:rFonts w:ascii="Perpetua" w:hAnsi="Perpetua"/>
          <w:sz w:val="24"/>
          <w:szCs w:val="24"/>
          <w:lang w:val="en-US"/>
        </w:rPr>
        <w:t>activity  in</w:t>
      </w:r>
      <w:proofErr w:type="gramEnd"/>
      <w:r w:rsidRPr="009C674A">
        <w:rPr>
          <w:rFonts w:ascii="Perpetua" w:hAnsi="Perpetua"/>
          <w:sz w:val="24"/>
          <w:szCs w:val="24"/>
          <w:lang w:val="en-US"/>
        </w:rPr>
        <w:t xml:space="preserve"> treatment-naïve active relapsing-remitting multiple sclerosis patients: 4- year  follow-up of CARE-MS I (P7.246). Neurology. 2015; 84; 14 Supplement P7.246.</w:t>
      </w:r>
    </w:p>
    <w:p w14:paraId="10403DCC" w14:textId="4A09B215"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n-US"/>
        </w:rPr>
        <w:t>Hassan-Smith G, Durant L, Tsentemeidou A, Assi LK, Faint JM, Kalra S, et al. High sensitivity and specificity of elevated cerebrospinal fluid kappa free light chains in suspected multiple sclerosis. J Neuroimmunol 2014 Nov 15;276(1-2):175-9.</w:t>
      </w:r>
    </w:p>
    <w:p w14:paraId="0B8F6838" w14:textId="4A57555D"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n-US"/>
        </w:rPr>
        <w:t xml:space="preserve">Burgoon MP, Gilden DH, Owens GP. B cells in multiple sclerosis. Front Biosci 2004 Jan </w:t>
      </w:r>
      <w:proofErr w:type="gramStart"/>
      <w:r w:rsidRPr="009C674A">
        <w:rPr>
          <w:rFonts w:ascii="Perpetua" w:hAnsi="Perpetua"/>
          <w:sz w:val="24"/>
          <w:szCs w:val="24"/>
          <w:lang w:val="en-US"/>
        </w:rPr>
        <w:t>1;9:786</w:t>
      </w:r>
      <w:proofErr w:type="gramEnd"/>
      <w:r w:rsidRPr="009C674A">
        <w:rPr>
          <w:rFonts w:ascii="Perpetua" w:hAnsi="Perpetua"/>
          <w:sz w:val="24"/>
          <w:szCs w:val="24"/>
          <w:lang w:val="en-US"/>
        </w:rPr>
        <w:t>-96.</w:t>
      </w:r>
    </w:p>
    <w:p w14:paraId="179DED29" w14:textId="77777777"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n-US"/>
        </w:rPr>
        <w:t>Henderson AP, Barnett MH, Parratt JD, Prineas JW. Multiple sclerosis: distribution of inflammatory cells in newly forming lesions. Ann Neurol. 2009;66(6):739-53.</w:t>
      </w:r>
    </w:p>
    <w:p w14:paraId="209FF5F1" w14:textId="77777777"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n-US"/>
        </w:rPr>
        <w:t>Horga A, Tintore M. Natalizumab for relapsing-remitting multiple sclerosis. Neurologia. 2011;26(6):357-68.</w:t>
      </w:r>
    </w:p>
    <w:p w14:paraId="33AAF34C" w14:textId="77777777"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s-CU"/>
        </w:rPr>
        <w:t xml:space="preserve">Alvarez-Cermeno JC, Villar LM. </w:t>
      </w:r>
      <w:r w:rsidRPr="009C674A">
        <w:rPr>
          <w:rFonts w:ascii="Perpetua" w:hAnsi="Perpetua"/>
          <w:sz w:val="24"/>
          <w:szCs w:val="24"/>
          <w:lang w:val="en-US"/>
        </w:rPr>
        <w:t>Multiple sclerosis: Oligoclonal bands--a useful tool to avoid MS misdiagnosis. Nat Rev Neurol 2013;9 (6):303-4.</w:t>
      </w:r>
    </w:p>
    <w:p w14:paraId="40446ECB" w14:textId="77777777"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rPr>
        <w:t xml:space="preserve">Bernardi G, Cataldo I. La determinazione del lecatenele g gereliber en el líquido cefalorachidiano: l'esperienza di due laboratorio Italiani. </w:t>
      </w:r>
      <w:r w:rsidRPr="009C674A">
        <w:rPr>
          <w:rFonts w:ascii="Perpetua" w:hAnsi="Perpetua"/>
          <w:sz w:val="24"/>
          <w:szCs w:val="24"/>
          <w:lang w:val="en-US"/>
        </w:rPr>
        <w:t>Biochim Clin 2013; 37: 389–394.</w:t>
      </w:r>
    </w:p>
    <w:p w14:paraId="1C5B46D4" w14:textId="77777777"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n-US"/>
        </w:rPr>
        <w:t>Bielekova B, Martin R. Development of biomarkers in multiple sclerosis. Brain 2004 Jul; 127 (7): 1463-1478.</w:t>
      </w:r>
    </w:p>
    <w:p w14:paraId="74B8E7C3" w14:textId="77777777" w:rsidR="004B08E2" w:rsidRPr="009C674A" w:rsidRDefault="004B08E2" w:rsidP="009C674A">
      <w:pPr>
        <w:pStyle w:val="Prrafodelista"/>
        <w:numPr>
          <w:ilvl w:val="0"/>
          <w:numId w:val="11"/>
        </w:numPr>
        <w:spacing w:after="0" w:line="360" w:lineRule="auto"/>
        <w:rPr>
          <w:rFonts w:ascii="Perpetua" w:hAnsi="Perpetua"/>
          <w:sz w:val="24"/>
          <w:szCs w:val="24"/>
          <w:lang w:val="en-US"/>
        </w:rPr>
      </w:pPr>
      <w:r w:rsidRPr="009C674A">
        <w:rPr>
          <w:rFonts w:ascii="Perpetua" w:hAnsi="Perpetua"/>
          <w:sz w:val="24"/>
          <w:szCs w:val="24"/>
          <w:lang w:val="en-US"/>
        </w:rPr>
        <w:lastRenderedPageBreak/>
        <w:t>Birnbaum G. Stress proteins: their role in the normal central nervous system and in disease states, especially multiple sclerosis. Springer SeminImmunopathol. 1995;17(1):107-18.</w:t>
      </w:r>
    </w:p>
    <w:p w14:paraId="18404C27" w14:textId="7C8400A7" w:rsidR="00D24A93" w:rsidRPr="0038053B" w:rsidRDefault="004B08E2" w:rsidP="0038053B">
      <w:pPr>
        <w:pStyle w:val="Prrafodelista"/>
        <w:numPr>
          <w:ilvl w:val="0"/>
          <w:numId w:val="11"/>
        </w:numPr>
        <w:spacing w:after="0" w:line="360" w:lineRule="auto"/>
        <w:rPr>
          <w:rFonts w:ascii="Perpetua" w:hAnsi="Perpetua"/>
          <w:sz w:val="24"/>
          <w:szCs w:val="24"/>
        </w:rPr>
      </w:pPr>
      <w:r w:rsidRPr="009C674A">
        <w:rPr>
          <w:rFonts w:ascii="Perpetua" w:hAnsi="Perpetua"/>
          <w:sz w:val="24"/>
          <w:szCs w:val="24"/>
          <w:lang w:val="en-US"/>
        </w:rPr>
        <w:t xml:space="preserve">Huss AM, Halbgebauer S, Ockl P, Trebst C, Spreer A, Borisow N, et al. Importance </w:t>
      </w:r>
      <w:proofErr w:type="gramStart"/>
      <w:r w:rsidRPr="009C674A">
        <w:rPr>
          <w:rFonts w:ascii="Perpetua" w:hAnsi="Perpetua"/>
          <w:sz w:val="24"/>
          <w:szCs w:val="24"/>
          <w:lang w:val="en-US"/>
        </w:rPr>
        <w:t>of  cerebrospinal</w:t>
      </w:r>
      <w:proofErr w:type="gramEnd"/>
      <w:r w:rsidRPr="009C674A">
        <w:rPr>
          <w:rFonts w:ascii="Perpetua" w:hAnsi="Perpetua"/>
          <w:sz w:val="24"/>
          <w:szCs w:val="24"/>
          <w:lang w:val="en-US"/>
        </w:rPr>
        <w:t xml:space="preserve"> fluid analysis in the era of McDonald 2010 criteria: a German-Austrian  retrospective multicenter study in patients with a clinically isolated syndrome. </w:t>
      </w:r>
      <w:proofErr w:type="gramStart"/>
      <w:r w:rsidRPr="009C674A">
        <w:rPr>
          <w:rFonts w:ascii="Perpetua" w:hAnsi="Perpetua"/>
          <w:sz w:val="24"/>
          <w:szCs w:val="24"/>
          <w:lang w:val="en-US"/>
        </w:rPr>
        <w:t>J  Neurol.</w:t>
      </w:r>
      <w:proofErr w:type="gramEnd"/>
      <w:r w:rsidRPr="009C674A">
        <w:rPr>
          <w:rFonts w:ascii="Perpetua" w:hAnsi="Perpetua"/>
          <w:sz w:val="24"/>
          <w:szCs w:val="24"/>
          <w:lang w:val="en-US"/>
        </w:rPr>
        <w:t xml:space="preserve"> </w:t>
      </w:r>
      <w:r w:rsidRPr="009C674A">
        <w:rPr>
          <w:rFonts w:ascii="Perpetua" w:hAnsi="Perpetua"/>
          <w:sz w:val="24"/>
          <w:szCs w:val="24"/>
        </w:rPr>
        <w:t>2016;263(12):2499-504.</w:t>
      </w:r>
    </w:p>
    <w:sectPr w:rsidR="00D24A93" w:rsidRPr="003805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1447"/>
    <w:multiLevelType w:val="multilevel"/>
    <w:tmpl w:val="55CE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C5211"/>
    <w:multiLevelType w:val="multilevel"/>
    <w:tmpl w:val="3F80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D2E87"/>
    <w:multiLevelType w:val="multilevel"/>
    <w:tmpl w:val="6FB60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93A6B"/>
    <w:multiLevelType w:val="multilevel"/>
    <w:tmpl w:val="AECC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04EA6"/>
    <w:multiLevelType w:val="multilevel"/>
    <w:tmpl w:val="DB2C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81F2C"/>
    <w:multiLevelType w:val="hybridMultilevel"/>
    <w:tmpl w:val="2DEABAFA"/>
    <w:lvl w:ilvl="0" w:tplc="5C0A000F">
      <w:start w:val="1"/>
      <w:numFmt w:val="decimal"/>
      <w:lvlText w:val="%1."/>
      <w:lvlJc w:val="left"/>
      <w:pPr>
        <w:ind w:left="360" w:hanging="360"/>
      </w:p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6" w15:restartNumberingAfterBreak="0">
    <w:nsid w:val="356F30A9"/>
    <w:multiLevelType w:val="hybridMultilevel"/>
    <w:tmpl w:val="E6140C24"/>
    <w:lvl w:ilvl="0" w:tplc="5C0A000F">
      <w:start w:val="1"/>
      <w:numFmt w:val="decimal"/>
      <w:lvlText w:val="%1."/>
      <w:lvlJc w:val="left"/>
      <w:pPr>
        <w:ind w:left="360" w:hanging="360"/>
      </w:p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7" w15:restartNumberingAfterBreak="0">
    <w:nsid w:val="39F24981"/>
    <w:multiLevelType w:val="hybridMultilevel"/>
    <w:tmpl w:val="50C61CA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479A335F"/>
    <w:multiLevelType w:val="multilevel"/>
    <w:tmpl w:val="2692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CD2089"/>
    <w:multiLevelType w:val="multilevel"/>
    <w:tmpl w:val="AA16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E1722"/>
    <w:multiLevelType w:val="hybridMultilevel"/>
    <w:tmpl w:val="FA7C0FD0"/>
    <w:lvl w:ilvl="0" w:tplc="83722A9C">
      <w:start w:val="1"/>
      <w:numFmt w:val="decimal"/>
      <w:lvlText w:val="%1."/>
      <w:lvlJc w:val="left"/>
      <w:pPr>
        <w:ind w:left="1080" w:hanging="72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1" w15:restartNumberingAfterBreak="0">
    <w:nsid w:val="6EA2153B"/>
    <w:multiLevelType w:val="multilevel"/>
    <w:tmpl w:val="6964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200825">
    <w:abstractNumId w:val="4"/>
  </w:num>
  <w:num w:numId="2" w16cid:durableId="1658149853">
    <w:abstractNumId w:val="8"/>
  </w:num>
  <w:num w:numId="3" w16cid:durableId="1329942318">
    <w:abstractNumId w:val="1"/>
  </w:num>
  <w:num w:numId="4" w16cid:durableId="2120835570">
    <w:abstractNumId w:val="9"/>
  </w:num>
  <w:num w:numId="5" w16cid:durableId="1260211728">
    <w:abstractNumId w:val="2"/>
  </w:num>
  <w:num w:numId="6" w16cid:durableId="248084222">
    <w:abstractNumId w:val="6"/>
  </w:num>
  <w:num w:numId="7" w16cid:durableId="1381511172">
    <w:abstractNumId w:val="3"/>
  </w:num>
  <w:num w:numId="8" w16cid:durableId="111945963">
    <w:abstractNumId w:val="11"/>
  </w:num>
  <w:num w:numId="9" w16cid:durableId="109782633">
    <w:abstractNumId w:val="7"/>
  </w:num>
  <w:num w:numId="10" w16cid:durableId="648361458">
    <w:abstractNumId w:val="10"/>
  </w:num>
  <w:num w:numId="11" w16cid:durableId="280381665">
    <w:abstractNumId w:val="5"/>
  </w:num>
  <w:num w:numId="12" w16cid:durableId="141631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49"/>
    <w:rsid w:val="00060D7D"/>
    <w:rsid w:val="000A1D11"/>
    <w:rsid w:val="00144AF9"/>
    <w:rsid w:val="00152C94"/>
    <w:rsid w:val="001D6EF4"/>
    <w:rsid w:val="002516CF"/>
    <w:rsid w:val="002932D3"/>
    <w:rsid w:val="002E04FB"/>
    <w:rsid w:val="0038053B"/>
    <w:rsid w:val="00421176"/>
    <w:rsid w:val="004B08E2"/>
    <w:rsid w:val="00564F57"/>
    <w:rsid w:val="006C06F9"/>
    <w:rsid w:val="009014C9"/>
    <w:rsid w:val="009C674A"/>
    <w:rsid w:val="009E3831"/>
    <w:rsid w:val="00AE1DF6"/>
    <w:rsid w:val="00AE5555"/>
    <w:rsid w:val="00C00849"/>
    <w:rsid w:val="00C2404E"/>
    <w:rsid w:val="00D2428E"/>
    <w:rsid w:val="00D24A93"/>
    <w:rsid w:val="00EA265D"/>
    <w:rsid w:val="00EA5C4B"/>
    <w:rsid w:val="00EA6993"/>
    <w:rsid w:val="00FE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8BD22"/>
  <w15:chartTrackingRefBased/>
  <w15:docId w15:val="{95D8379A-8E9C-412F-9B8B-DFBCEF94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E2"/>
    <w:rPr>
      <w:lang w:val="es-ES"/>
    </w:rPr>
  </w:style>
  <w:style w:type="paragraph" w:styleId="Ttulo1">
    <w:name w:val="heading 1"/>
    <w:basedOn w:val="Normal"/>
    <w:next w:val="Normal"/>
    <w:link w:val="Ttulo1Car"/>
    <w:uiPriority w:val="9"/>
    <w:qFormat/>
    <w:rsid w:val="00C008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008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0084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0084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0084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008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08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08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08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2">
    <w:name w:val="normal 2"/>
    <w:basedOn w:val="Sinespaciado"/>
    <w:next w:val="Sinespaciado"/>
    <w:autoRedefine/>
    <w:qFormat/>
    <w:rsid w:val="002516CF"/>
    <w:pPr>
      <w:spacing w:line="360" w:lineRule="auto"/>
    </w:pPr>
    <w:rPr>
      <w:rFonts w:ascii="Roboto" w:hAnsi="Roboto"/>
      <w:sz w:val="24"/>
    </w:rPr>
  </w:style>
  <w:style w:type="paragraph" w:styleId="Sinespaciado">
    <w:name w:val="No Spacing"/>
    <w:uiPriority w:val="1"/>
    <w:qFormat/>
    <w:rsid w:val="002516CF"/>
    <w:pPr>
      <w:spacing w:after="0" w:line="240" w:lineRule="auto"/>
    </w:pPr>
    <w:rPr>
      <w:lang w:val="es-ES"/>
    </w:rPr>
  </w:style>
  <w:style w:type="character" w:customStyle="1" w:styleId="Ttulo1Car">
    <w:name w:val="Título 1 Car"/>
    <w:basedOn w:val="Fuentedeprrafopredeter"/>
    <w:link w:val="Ttulo1"/>
    <w:uiPriority w:val="9"/>
    <w:rsid w:val="00C00849"/>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C00849"/>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C00849"/>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C00849"/>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C00849"/>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C00849"/>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C00849"/>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C00849"/>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C00849"/>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C00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0849"/>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C008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0849"/>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C00849"/>
    <w:pPr>
      <w:spacing w:before="160"/>
      <w:jc w:val="center"/>
    </w:pPr>
    <w:rPr>
      <w:i/>
      <w:iCs/>
      <w:color w:val="404040" w:themeColor="text1" w:themeTint="BF"/>
    </w:rPr>
  </w:style>
  <w:style w:type="character" w:customStyle="1" w:styleId="CitaCar">
    <w:name w:val="Cita Car"/>
    <w:basedOn w:val="Fuentedeprrafopredeter"/>
    <w:link w:val="Cita"/>
    <w:uiPriority w:val="29"/>
    <w:rsid w:val="00C00849"/>
    <w:rPr>
      <w:i/>
      <w:iCs/>
      <w:color w:val="404040" w:themeColor="text1" w:themeTint="BF"/>
      <w:lang w:val="es-ES"/>
    </w:rPr>
  </w:style>
  <w:style w:type="paragraph" w:styleId="Prrafodelista">
    <w:name w:val="List Paragraph"/>
    <w:basedOn w:val="Normal"/>
    <w:uiPriority w:val="34"/>
    <w:qFormat/>
    <w:rsid w:val="00C00849"/>
    <w:pPr>
      <w:ind w:left="720"/>
      <w:contextualSpacing/>
    </w:pPr>
  </w:style>
  <w:style w:type="character" w:styleId="nfasisintenso">
    <w:name w:val="Intense Emphasis"/>
    <w:basedOn w:val="Fuentedeprrafopredeter"/>
    <w:uiPriority w:val="21"/>
    <w:qFormat/>
    <w:rsid w:val="00C00849"/>
    <w:rPr>
      <w:i/>
      <w:iCs/>
      <w:color w:val="2F5496" w:themeColor="accent1" w:themeShade="BF"/>
    </w:rPr>
  </w:style>
  <w:style w:type="paragraph" w:styleId="Citadestacada">
    <w:name w:val="Intense Quote"/>
    <w:basedOn w:val="Normal"/>
    <w:next w:val="Normal"/>
    <w:link w:val="CitadestacadaCar"/>
    <w:uiPriority w:val="30"/>
    <w:qFormat/>
    <w:rsid w:val="00C00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00849"/>
    <w:rPr>
      <w:i/>
      <w:iCs/>
      <w:color w:val="2F5496" w:themeColor="accent1" w:themeShade="BF"/>
      <w:lang w:val="es-ES"/>
    </w:rPr>
  </w:style>
  <w:style w:type="character" w:styleId="Referenciaintensa">
    <w:name w:val="Intense Reference"/>
    <w:basedOn w:val="Fuentedeprrafopredeter"/>
    <w:uiPriority w:val="32"/>
    <w:qFormat/>
    <w:rsid w:val="00C00849"/>
    <w:rPr>
      <w:b/>
      <w:bCs/>
      <w:smallCaps/>
      <w:color w:val="2F5496" w:themeColor="accent1" w:themeShade="BF"/>
      <w:spacing w:val="5"/>
    </w:rPr>
  </w:style>
  <w:style w:type="character" w:styleId="Hipervnculo">
    <w:name w:val="Hyperlink"/>
    <w:basedOn w:val="Fuentedeprrafopredeter"/>
    <w:uiPriority w:val="99"/>
    <w:unhideWhenUsed/>
    <w:rsid w:val="00C00849"/>
    <w:rPr>
      <w:color w:val="0563C1" w:themeColor="hyperlink"/>
      <w:u w:val="single"/>
    </w:rPr>
  </w:style>
  <w:style w:type="character" w:styleId="Mencinsinresolver">
    <w:name w:val="Unresolved Mention"/>
    <w:basedOn w:val="Fuentedeprrafopredeter"/>
    <w:uiPriority w:val="99"/>
    <w:semiHidden/>
    <w:unhideWhenUsed/>
    <w:rsid w:val="00C00849"/>
    <w:rPr>
      <w:color w:val="605E5C"/>
      <w:shd w:val="clear" w:color="auto" w:fill="E1DFDD"/>
    </w:rPr>
  </w:style>
  <w:style w:type="paragraph" w:customStyle="1" w:styleId="my-0">
    <w:name w:val="my-0"/>
    <w:basedOn w:val="Normal"/>
    <w:rsid w:val="00564F57"/>
    <w:pPr>
      <w:spacing w:before="100" w:beforeAutospacing="1" w:after="100" w:afterAutospacing="1" w:line="240" w:lineRule="auto"/>
    </w:pPr>
    <w:rPr>
      <w:rFonts w:ascii="Times New Roman" w:eastAsia="Times New Roman" w:hAnsi="Times New Roman" w:cs="Times New Roman"/>
      <w:kern w:val="0"/>
      <w:sz w:val="24"/>
      <w:szCs w:val="24"/>
      <w:lang w:val="es-CU" w:eastAsia="es-CU"/>
      <w14:ligatures w14:val="none"/>
    </w:rPr>
  </w:style>
  <w:style w:type="character" w:styleId="Hipervnculovisitado">
    <w:name w:val="FollowedHyperlink"/>
    <w:basedOn w:val="Fuentedeprrafopredeter"/>
    <w:uiPriority w:val="99"/>
    <w:semiHidden/>
    <w:unhideWhenUsed/>
    <w:rsid w:val="00564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3977">
      <w:bodyDiv w:val="1"/>
      <w:marLeft w:val="0"/>
      <w:marRight w:val="0"/>
      <w:marTop w:val="0"/>
      <w:marBottom w:val="0"/>
      <w:divBdr>
        <w:top w:val="none" w:sz="0" w:space="0" w:color="auto"/>
        <w:left w:val="none" w:sz="0" w:space="0" w:color="auto"/>
        <w:bottom w:val="none" w:sz="0" w:space="0" w:color="auto"/>
        <w:right w:val="none" w:sz="0" w:space="0" w:color="auto"/>
      </w:divBdr>
      <w:divsChild>
        <w:div w:id="1992126345">
          <w:marLeft w:val="0"/>
          <w:marRight w:val="0"/>
          <w:marTop w:val="0"/>
          <w:marBottom w:val="0"/>
          <w:divBdr>
            <w:top w:val="none" w:sz="0" w:space="0" w:color="auto"/>
            <w:left w:val="none" w:sz="0" w:space="0" w:color="auto"/>
            <w:bottom w:val="none" w:sz="0" w:space="0" w:color="auto"/>
            <w:right w:val="none" w:sz="0" w:space="0" w:color="auto"/>
          </w:divBdr>
        </w:div>
      </w:divsChild>
    </w:div>
    <w:div w:id="185755525">
      <w:bodyDiv w:val="1"/>
      <w:marLeft w:val="0"/>
      <w:marRight w:val="0"/>
      <w:marTop w:val="0"/>
      <w:marBottom w:val="0"/>
      <w:divBdr>
        <w:top w:val="none" w:sz="0" w:space="0" w:color="auto"/>
        <w:left w:val="none" w:sz="0" w:space="0" w:color="auto"/>
        <w:bottom w:val="none" w:sz="0" w:space="0" w:color="auto"/>
        <w:right w:val="none" w:sz="0" w:space="0" w:color="auto"/>
      </w:divBdr>
      <w:divsChild>
        <w:div w:id="270213029">
          <w:marLeft w:val="0"/>
          <w:marRight w:val="0"/>
          <w:marTop w:val="0"/>
          <w:marBottom w:val="0"/>
          <w:divBdr>
            <w:top w:val="none" w:sz="0" w:space="0" w:color="auto"/>
            <w:left w:val="none" w:sz="0" w:space="0" w:color="auto"/>
            <w:bottom w:val="none" w:sz="0" w:space="0" w:color="auto"/>
            <w:right w:val="none" w:sz="0" w:space="0" w:color="auto"/>
          </w:divBdr>
        </w:div>
      </w:divsChild>
    </w:div>
    <w:div w:id="244072024">
      <w:bodyDiv w:val="1"/>
      <w:marLeft w:val="0"/>
      <w:marRight w:val="0"/>
      <w:marTop w:val="0"/>
      <w:marBottom w:val="0"/>
      <w:divBdr>
        <w:top w:val="none" w:sz="0" w:space="0" w:color="auto"/>
        <w:left w:val="none" w:sz="0" w:space="0" w:color="auto"/>
        <w:bottom w:val="none" w:sz="0" w:space="0" w:color="auto"/>
        <w:right w:val="none" w:sz="0" w:space="0" w:color="auto"/>
      </w:divBdr>
      <w:divsChild>
        <w:div w:id="1718311983">
          <w:marLeft w:val="0"/>
          <w:marRight w:val="0"/>
          <w:marTop w:val="0"/>
          <w:marBottom w:val="0"/>
          <w:divBdr>
            <w:top w:val="none" w:sz="0" w:space="0" w:color="auto"/>
            <w:left w:val="none" w:sz="0" w:space="0" w:color="auto"/>
            <w:bottom w:val="none" w:sz="0" w:space="0" w:color="auto"/>
            <w:right w:val="none" w:sz="0" w:space="0" w:color="auto"/>
          </w:divBdr>
        </w:div>
      </w:divsChild>
    </w:div>
    <w:div w:id="542521575">
      <w:bodyDiv w:val="1"/>
      <w:marLeft w:val="0"/>
      <w:marRight w:val="0"/>
      <w:marTop w:val="0"/>
      <w:marBottom w:val="0"/>
      <w:divBdr>
        <w:top w:val="none" w:sz="0" w:space="0" w:color="auto"/>
        <w:left w:val="none" w:sz="0" w:space="0" w:color="auto"/>
        <w:bottom w:val="none" w:sz="0" w:space="0" w:color="auto"/>
        <w:right w:val="none" w:sz="0" w:space="0" w:color="auto"/>
      </w:divBdr>
      <w:divsChild>
        <w:div w:id="200098201">
          <w:marLeft w:val="0"/>
          <w:marRight w:val="0"/>
          <w:marTop w:val="0"/>
          <w:marBottom w:val="0"/>
          <w:divBdr>
            <w:top w:val="none" w:sz="0" w:space="0" w:color="auto"/>
            <w:left w:val="none" w:sz="0" w:space="0" w:color="auto"/>
            <w:bottom w:val="none" w:sz="0" w:space="0" w:color="auto"/>
            <w:right w:val="none" w:sz="0" w:space="0" w:color="auto"/>
          </w:divBdr>
        </w:div>
      </w:divsChild>
    </w:div>
    <w:div w:id="941450550">
      <w:bodyDiv w:val="1"/>
      <w:marLeft w:val="0"/>
      <w:marRight w:val="0"/>
      <w:marTop w:val="0"/>
      <w:marBottom w:val="0"/>
      <w:divBdr>
        <w:top w:val="none" w:sz="0" w:space="0" w:color="auto"/>
        <w:left w:val="none" w:sz="0" w:space="0" w:color="auto"/>
        <w:bottom w:val="none" w:sz="0" w:space="0" w:color="auto"/>
        <w:right w:val="none" w:sz="0" w:space="0" w:color="auto"/>
      </w:divBdr>
      <w:divsChild>
        <w:div w:id="35083366">
          <w:marLeft w:val="0"/>
          <w:marRight w:val="0"/>
          <w:marTop w:val="0"/>
          <w:marBottom w:val="0"/>
          <w:divBdr>
            <w:top w:val="none" w:sz="0" w:space="0" w:color="auto"/>
            <w:left w:val="none" w:sz="0" w:space="0" w:color="auto"/>
            <w:bottom w:val="none" w:sz="0" w:space="0" w:color="auto"/>
            <w:right w:val="none" w:sz="0" w:space="0" w:color="auto"/>
          </w:divBdr>
          <w:divsChild>
            <w:div w:id="7545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7715">
      <w:bodyDiv w:val="1"/>
      <w:marLeft w:val="0"/>
      <w:marRight w:val="0"/>
      <w:marTop w:val="0"/>
      <w:marBottom w:val="0"/>
      <w:divBdr>
        <w:top w:val="none" w:sz="0" w:space="0" w:color="auto"/>
        <w:left w:val="none" w:sz="0" w:space="0" w:color="auto"/>
        <w:bottom w:val="none" w:sz="0" w:space="0" w:color="auto"/>
        <w:right w:val="none" w:sz="0" w:space="0" w:color="auto"/>
      </w:divBdr>
      <w:divsChild>
        <w:div w:id="1682119286">
          <w:marLeft w:val="0"/>
          <w:marRight w:val="0"/>
          <w:marTop w:val="0"/>
          <w:marBottom w:val="0"/>
          <w:divBdr>
            <w:top w:val="none" w:sz="0" w:space="0" w:color="auto"/>
            <w:left w:val="none" w:sz="0" w:space="0" w:color="auto"/>
            <w:bottom w:val="none" w:sz="0" w:space="0" w:color="auto"/>
            <w:right w:val="none" w:sz="0" w:space="0" w:color="auto"/>
          </w:divBdr>
        </w:div>
      </w:divsChild>
    </w:div>
    <w:div w:id="1136949081">
      <w:bodyDiv w:val="1"/>
      <w:marLeft w:val="0"/>
      <w:marRight w:val="0"/>
      <w:marTop w:val="0"/>
      <w:marBottom w:val="0"/>
      <w:divBdr>
        <w:top w:val="none" w:sz="0" w:space="0" w:color="auto"/>
        <w:left w:val="none" w:sz="0" w:space="0" w:color="auto"/>
        <w:bottom w:val="none" w:sz="0" w:space="0" w:color="auto"/>
        <w:right w:val="none" w:sz="0" w:space="0" w:color="auto"/>
      </w:divBdr>
      <w:divsChild>
        <w:div w:id="1090587387">
          <w:marLeft w:val="0"/>
          <w:marRight w:val="0"/>
          <w:marTop w:val="0"/>
          <w:marBottom w:val="0"/>
          <w:divBdr>
            <w:top w:val="none" w:sz="0" w:space="0" w:color="auto"/>
            <w:left w:val="none" w:sz="0" w:space="0" w:color="auto"/>
            <w:bottom w:val="none" w:sz="0" w:space="0" w:color="auto"/>
            <w:right w:val="none" w:sz="0" w:space="0" w:color="auto"/>
          </w:divBdr>
        </w:div>
      </w:divsChild>
    </w:div>
    <w:div w:id="1313100468">
      <w:bodyDiv w:val="1"/>
      <w:marLeft w:val="0"/>
      <w:marRight w:val="0"/>
      <w:marTop w:val="0"/>
      <w:marBottom w:val="0"/>
      <w:divBdr>
        <w:top w:val="none" w:sz="0" w:space="0" w:color="auto"/>
        <w:left w:val="none" w:sz="0" w:space="0" w:color="auto"/>
        <w:bottom w:val="none" w:sz="0" w:space="0" w:color="auto"/>
        <w:right w:val="none" w:sz="0" w:space="0" w:color="auto"/>
      </w:divBdr>
      <w:divsChild>
        <w:div w:id="554395017">
          <w:marLeft w:val="0"/>
          <w:marRight w:val="0"/>
          <w:marTop w:val="0"/>
          <w:marBottom w:val="0"/>
          <w:divBdr>
            <w:top w:val="none" w:sz="0" w:space="0" w:color="auto"/>
            <w:left w:val="none" w:sz="0" w:space="0" w:color="auto"/>
            <w:bottom w:val="none" w:sz="0" w:space="0" w:color="auto"/>
            <w:right w:val="none" w:sz="0" w:space="0" w:color="auto"/>
          </w:divBdr>
        </w:div>
      </w:divsChild>
    </w:div>
    <w:div w:id="1347825984">
      <w:bodyDiv w:val="1"/>
      <w:marLeft w:val="0"/>
      <w:marRight w:val="0"/>
      <w:marTop w:val="0"/>
      <w:marBottom w:val="0"/>
      <w:divBdr>
        <w:top w:val="none" w:sz="0" w:space="0" w:color="auto"/>
        <w:left w:val="none" w:sz="0" w:space="0" w:color="auto"/>
        <w:bottom w:val="none" w:sz="0" w:space="0" w:color="auto"/>
        <w:right w:val="none" w:sz="0" w:space="0" w:color="auto"/>
      </w:divBdr>
      <w:divsChild>
        <w:div w:id="2131776619">
          <w:marLeft w:val="0"/>
          <w:marRight w:val="0"/>
          <w:marTop w:val="0"/>
          <w:marBottom w:val="0"/>
          <w:divBdr>
            <w:top w:val="none" w:sz="0" w:space="0" w:color="auto"/>
            <w:left w:val="none" w:sz="0" w:space="0" w:color="auto"/>
            <w:bottom w:val="none" w:sz="0" w:space="0" w:color="auto"/>
            <w:right w:val="none" w:sz="0" w:space="0" w:color="auto"/>
          </w:divBdr>
          <w:divsChild>
            <w:div w:id="1352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3806">
      <w:bodyDiv w:val="1"/>
      <w:marLeft w:val="0"/>
      <w:marRight w:val="0"/>
      <w:marTop w:val="0"/>
      <w:marBottom w:val="0"/>
      <w:divBdr>
        <w:top w:val="none" w:sz="0" w:space="0" w:color="auto"/>
        <w:left w:val="none" w:sz="0" w:space="0" w:color="auto"/>
        <w:bottom w:val="none" w:sz="0" w:space="0" w:color="auto"/>
        <w:right w:val="none" w:sz="0" w:space="0" w:color="auto"/>
      </w:divBdr>
      <w:divsChild>
        <w:div w:id="1304045127">
          <w:marLeft w:val="0"/>
          <w:marRight w:val="0"/>
          <w:marTop w:val="0"/>
          <w:marBottom w:val="0"/>
          <w:divBdr>
            <w:top w:val="none" w:sz="0" w:space="0" w:color="auto"/>
            <w:left w:val="none" w:sz="0" w:space="0" w:color="auto"/>
            <w:bottom w:val="none" w:sz="0" w:space="0" w:color="auto"/>
            <w:right w:val="none" w:sz="0" w:space="0" w:color="auto"/>
          </w:divBdr>
          <w:divsChild>
            <w:div w:id="15462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8052">
      <w:bodyDiv w:val="1"/>
      <w:marLeft w:val="0"/>
      <w:marRight w:val="0"/>
      <w:marTop w:val="0"/>
      <w:marBottom w:val="0"/>
      <w:divBdr>
        <w:top w:val="none" w:sz="0" w:space="0" w:color="auto"/>
        <w:left w:val="none" w:sz="0" w:space="0" w:color="auto"/>
        <w:bottom w:val="none" w:sz="0" w:space="0" w:color="auto"/>
        <w:right w:val="none" w:sz="0" w:space="0" w:color="auto"/>
      </w:divBdr>
      <w:divsChild>
        <w:div w:id="1221794559">
          <w:marLeft w:val="0"/>
          <w:marRight w:val="0"/>
          <w:marTop w:val="0"/>
          <w:marBottom w:val="0"/>
          <w:divBdr>
            <w:top w:val="none" w:sz="0" w:space="0" w:color="auto"/>
            <w:left w:val="none" w:sz="0" w:space="0" w:color="auto"/>
            <w:bottom w:val="none" w:sz="0" w:space="0" w:color="auto"/>
            <w:right w:val="none" w:sz="0" w:space="0" w:color="auto"/>
          </w:divBdr>
          <w:divsChild>
            <w:div w:id="15597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2604">
      <w:bodyDiv w:val="1"/>
      <w:marLeft w:val="0"/>
      <w:marRight w:val="0"/>
      <w:marTop w:val="0"/>
      <w:marBottom w:val="0"/>
      <w:divBdr>
        <w:top w:val="none" w:sz="0" w:space="0" w:color="auto"/>
        <w:left w:val="none" w:sz="0" w:space="0" w:color="auto"/>
        <w:bottom w:val="none" w:sz="0" w:space="0" w:color="auto"/>
        <w:right w:val="none" w:sz="0" w:space="0" w:color="auto"/>
      </w:divBdr>
      <w:divsChild>
        <w:div w:id="1018965448">
          <w:marLeft w:val="0"/>
          <w:marRight w:val="0"/>
          <w:marTop w:val="0"/>
          <w:marBottom w:val="0"/>
          <w:divBdr>
            <w:top w:val="none" w:sz="0" w:space="0" w:color="auto"/>
            <w:left w:val="none" w:sz="0" w:space="0" w:color="auto"/>
            <w:bottom w:val="none" w:sz="0" w:space="0" w:color="auto"/>
            <w:right w:val="none" w:sz="0" w:space="0" w:color="auto"/>
          </w:divBdr>
        </w:div>
      </w:divsChild>
    </w:div>
    <w:div w:id="2102946223">
      <w:bodyDiv w:val="1"/>
      <w:marLeft w:val="0"/>
      <w:marRight w:val="0"/>
      <w:marTop w:val="0"/>
      <w:marBottom w:val="0"/>
      <w:divBdr>
        <w:top w:val="none" w:sz="0" w:space="0" w:color="auto"/>
        <w:left w:val="none" w:sz="0" w:space="0" w:color="auto"/>
        <w:bottom w:val="none" w:sz="0" w:space="0" w:color="auto"/>
        <w:right w:val="none" w:sz="0" w:space="0" w:color="auto"/>
      </w:divBdr>
      <w:divsChild>
        <w:div w:id="1444417536">
          <w:marLeft w:val="0"/>
          <w:marRight w:val="0"/>
          <w:marTop w:val="0"/>
          <w:marBottom w:val="0"/>
          <w:divBdr>
            <w:top w:val="none" w:sz="0" w:space="0" w:color="auto"/>
            <w:left w:val="none" w:sz="0" w:space="0" w:color="auto"/>
            <w:bottom w:val="none" w:sz="0" w:space="0" w:color="auto"/>
            <w:right w:val="none" w:sz="0" w:space="0" w:color="auto"/>
          </w:divBdr>
          <w:divsChild>
            <w:div w:id="12326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9128">
      <w:bodyDiv w:val="1"/>
      <w:marLeft w:val="0"/>
      <w:marRight w:val="0"/>
      <w:marTop w:val="0"/>
      <w:marBottom w:val="0"/>
      <w:divBdr>
        <w:top w:val="none" w:sz="0" w:space="0" w:color="auto"/>
        <w:left w:val="none" w:sz="0" w:space="0" w:color="auto"/>
        <w:bottom w:val="none" w:sz="0" w:space="0" w:color="auto"/>
        <w:right w:val="none" w:sz="0" w:space="0" w:color="auto"/>
      </w:divBdr>
      <w:divsChild>
        <w:div w:id="974261132">
          <w:marLeft w:val="0"/>
          <w:marRight w:val="0"/>
          <w:marTop w:val="0"/>
          <w:marBottom w:val="0"/>
          <w:divBdr>
            <w:top w:val="none" w:sz="0" w:space="0" w:color="auto"/>
            <w:left w:val="none" w:sz="0" w:space="0" w:color="auto"/>
            <w:bottom w:val="none" w:sz="0" w:space="0" w:color="auto"/>
            <w:right w:val="none" w:sz="0" w:space="0" w:color="auto"/>
          </w:divBdr>
          <w:divsChild>
            <w:div w:id="12323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347-8409" TargetMode="External"/><Relationship Id="rId13" Type="http://schemas.openxmlformats.org/officeDocument/2006/relationships/hyperlink" Target="https://core.ac.uk/download/157756790.pdf" TargetMode="External"/><Relationship Id="rId3" Type="http://schemas.openxmlformats.org/officeDocument/2006/relationships/settings" Target="settings.xml"/><Relationship Id="rId7" Type="http://schemas.openxmlformats.org/officeDocument/2006/relationships/hyperlink" Target="https://orcid.org/0009-0002-7331-2964" TargetMode="External"/><Relationship Id="rId12" Type="http://schemas.openxmlformats.org/officeDocument/2006/relationships/hyperlink" Target="http://scielo.senescyt.gob.ec/scielo.php?script=sci_arttext&amp;pid=S2631-25812018000100062&amp;l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2774-9930" TargetMode="External"/><Relationship Id="rId11" Type="http://schemas.openxmlformats.org/officeDocument/2006/relationships/hyperlink" Target="mailto:eneida@infomed.sld.c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orcid.org/0000-0003-1380-2646" TargetMode="External"/><Relationship Id="rId4" Type="http://schemas.openxmlformats.org/officeDocument/2006/relationships/webSettings" Target="webSettings.xml"/><Relationship Id="rId9" Type="http://schemas.openxmlformats.org/officeDocument/2006/relationships/hyperlink" Target="https://orcid.org/0000-0001-7125-357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2711</Words>
  <Characters>14914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jpmtzl@infomed.sld.cu</dc:creator>
  <cp:keywords/>
  <dc:description/>
  <cp:lastModifiedBy>jpmtzl@infomed.sld.cu</cp:lastModifiedBy>
  <cp:revision>4</cp:revision>
  <dcterms:created xsi:type="dcterms:W3CDTF">2025-03-24T17:45:00Z</dcterms:created>
  <dcterms:modified xsi:type="dcterms:W3CDTF">2025-03-24T21:15:00Z</dcterms:modified>
</cp:coreProperties>
</file>