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154E9" w14:textId="0C797A71" w:rsidR="00473A97" w:rsidRPr="006B35C5" w:rsidRDefault="00473A97">
      <w:pPr>
        <w:rPr>
          <w:lang w:val="en-US"/>
        </w:rPr>
      </w:pPr>
    </w:p>
    <w:p w14:paraId="76A33FCA" w14:textId="77777777" w:rsidR="00BE2F7C" w:rsidRPr="00A262E4" w:rsidRDefault="00332085" w:rsidP="00275B64">
      <w:pPr>
        <w:jc w:val="center"/>
        <w:rPr>
          <w:rFonts w:ascii="Perpetua" w:hAnsi="Perpetua"/>
          <w:b/>
        </w:rPr>
      </w:pPr>
      <w:r w:rsidRPr="00A262E4">
        <w:rPr>
          <w:rFonts w:ascii="Perpetua" w:hAnsi="Perpetua"/>
          <w:b/>
        </w:rPr>
        <w:t>CARACTERIZACI</w:t>
      </w:r>
      <w:r w:rsidRPr="00A262E4">
        <w:rPr>
          <w:rFonts w:ascii="Perpetua" w:hAnsi="Perpetua" w:cs="Arial"/>
          <w:b/>
          <w:bCs/>
        </w:rPr>
        <w:t>Ó</w:t>
      </w:r>
      <w:r w:rsidRPr="00A262E4">
        <w:rPr>
          <w:rFonts w:ascii="Perpetua" w:hAnsi="Perpetua"/>
          <w:b/>
        </w:rPr>
        <w:t>N CLINÌCA E IMAGENL</w:t>
      </w:r>
      <w:r w:rsidRPr="00A262E4">
        <w:rPr>
          <w:rFonts w:ascii="Perpetua" w:hAnsi="Perpetua" w:cs="Arial"/>
          <w:b/>
          <w:bCs/>
        </w:rPr>
        <w:t>Ó</w:t>
      </w:r>
      <w:r w:rsidR="00571CFE" w:rsidRPr="00A262E4">
        <w:rPr>
          <w:rFonts w:ascii="Perpetua" w:hAnsi="Perpetua"/>
          <w:b/>
        </w:rPr>
        <w:t>GICA DE P</w:t>
      </w:r>
      <w:r w:rsidRPr="00A262E4">
        <w:rPr>
          <w:rFonts w:ascii="Perpetua" w:hAnsi="Perpetua"/>
          <w:b/>
        </w:rPr>
        <w:t>ACIENTES CON ENCEFALITIS TOXOPLÀ</w:t>
      </w:r>
      <w:r w:rsidR="00571CFE" w:rsidRPr="00A262E4">
        <w:rPr>
          <w:rFonts w:ascii="Perpetua" w:hAnsi="Perpetua"/>
          <w:b/>
        </w:rPr>
        <w:t>SMICA</w:t>
      </w:r>
    </w:p>
    <w:p w14:paraId="6FD31DB8" w14:textId="77777777" w:rsidR="00571CFE" w:rsidRPr="00A262E4" w:rsidRDefault="00571CFE" w:rsidP="00275B64">
      <w:pPr>
        <w:jc w:val="center"/>
        <w:rPr>
          <w:rFonts w:ascii="Perpetua" w:hAnsi="Perpetua"/>
          <w:b/>
        </w:rPr>
      </w:pPr>
    </w:p>
    <w:p w14:paraId="76FA7CC7" w14:textId="55C3CD14" w:rsidR="00BE2F7C" w:rsidRPr="00275B64" w:rsidRDefault="00571CFE" w:rsidP="00275B64">
      <w:pPr>
        <w:jc w:val="center"/>
        <w:rPr>
          <w:rFonts w:ascii="Perpetua" w:hAnsi="Perpetua"/>
          <w:bCs/>
          <w:lang w:val="en-US"/>
        </w:rPr>
      </w:pPr>
      <w:r w:rsidRPr="00275B64">
        <w:rPr>
          <w:rFonts w:ascii="Perpetua" w:hAnsi="Perpetua"/>
          <w:bCs/>
          <w:lang w:val="en-US"/>
        </w:rPr>
        <w:t>CLINICAL AND IMAGING CHARACTERIZATION OF PATIENTS WITH TOXOPLASMIC ENCEPHALITIS</w:t>
      </w:r>
    </w:p>
    <w:p w14:paraId="0291D8F4" w14:textId="77777777" w:rsidR="00BE2F7C" w:rsidRPr="00051EBC" w:rsidRDefault="00BE2F7C">
      <w:pPr>
        <w:rPr>
          <w:rFonts w:ascii="Perpetua" w:hAnsi="Perpetua"/>
          <w:lang w:val="en-US"/>
        </w:rPr>
      </w:pPr>
    </w:p>
    <w:p w14:paraId="303CC974" w14:textId="77777777" w:rsidR="00BE2F7C" w:rsidRPr="00A262E4" w:rsidRDefault="00BE2F7C" w:rsidP="00BE2F7C">
      <w:pPr>
        <w:spacing w:line="360" w:lineRule="auto"/>
        <w:rPr>
          <w:rStyle w:val="Hipervnculo"/>
          <w:rFonts w:ascii="Perpetua" w:eastAsia="Calibri" w:hAnsi="Perpetua" w:cs="Arial"/>
        </w:rPr>
      </w:pPr>
      <w:r w:rsidRPr="00A262E4">
        <w:rPr>
          <w:rFonts w:ascii="Perpetua" w:hAnsi="Perpetua" w:cs="Arial"/>
          <w:lang w:val="es-ES_tradnl"/>
        </w:rPr>
        <w:t>Mayte</w:t>
      </w:r>
      <w:r w:rsidRPr="00A262E4">
        <w:rPr>
          <w:rFonts w:ascii="Perpetua" w:hAnsi="Perpetua" w:cs="Arial"/>
        </w:rPr>
        <w:t>e</w:t>
      </w:r>
      <w:r w:rsidRPr="00A262E4">
        <w:rPr>
          <w:rFonts w:ascii="Perpetua" w:hAnsi="Perpetua" w:cs="Arial"/>
          <w:lang w:val="es-ES_tradnl"/>
        </w:rPr>
        <w:t xml:space="preserve"> Olivera Vega</w:t>
      </w:r>
      <w:r w:rsidRPr="00A262E4">
        <w:rPr>
          <w:rFonts w:ascii="Perpetua" w:eastAsia="Calibri" w:hAnsi="Perpetua" w:cs="Arial"/>
          <w:vertAlign w:val="superscript"/>
        </w:rPr>
        <w:t>1</w:t>
      </w:r>
      <w:r w:rsidRPr="00A262E4">
        <w:rPr>
          <w:rFonts w:ascii="Perpetua" w:eastAsia="Calibri" w:hAnsi="Perpetua" w:cs="Arial"/>
        </w:rPr>
        <w:t xml:space="preserve">  </w:t>
      </w:r>
      <w:hyperlink r:id="rId8" w:history="1">
        <w:r w:rsidRPr="00A262E4">
          <w:rPr>
            <w:rStyle w:val="Hipervnculo"/>
            <w:rFonts w:ascii="Perpetua" w:eastAsia="Calibri" w:hAnsi="Perpetua" w:cs="Arial"/>
          </w:rPr>
          <w:t>https://orcid.org/0009-0007-2066-177X</w:t>
        </w:r>
      </w:hyperlink>
    </w:p>
    <w:p w14:paraId="2709458E" w14:textId="77777777" w:rsidR="00BE2F7C" w:rsidRPr="00A262E4" w:rsidRDefault="00BE2F7C" w:rsidP="00BE2F7C">
      <w:pPr>
        <w:spacing w:line="360" w:lineRule="auto"/>
        <w:ind w:hanging="142"/>
        <w:jc w:val="both"/>
        <w:rPr>
          <w:rStyle w:val="Hipervnculo"/>
          <w:rFonts w:ascii="Perpetua" w:eastAsia="Calibri" w:hAnsi="Perpetua" w:cs="Arial"/>
        </w:rPr>
      </w:pPr>
      <w:r w:rsidRPr="00A262E4">
        <w:rPr>
          <w:rFonts w:ascii="Perpetua" w:eastAsia="Calibri" w:hAnsi="Perpetua" w:cs="Arial"/>
        </w:rPr>
        <w:t xml:space="preserve">  </w:t>
      </w:r>
      <w:proofErr w:type="spellStart"/>
      <w:r w:rsidRPr="00A262E4">
        <w:rPr>
          <w:rFonts w:ascii="Perpetua" w:eastAsia="Calibri" w:hAnsi="Perpetua" w:cs="Arial"/>
        </w:rPr>
        <w:t>Lisbel</w:t>
      </w:r>
      <w:proofErr w:type="spellEnd"/>
      <w:r w:rsidRPr="00A262E4">
        <w:rPr>
          <w:rFonts w:ascii="Perpetua" w:eastAsia="Calibri" w:hAnsi="Perpetua" w:cs="Arial"/>
        </w:rPr>
        <w:t xml:space="preserve"> Garzón Cutiño</w:t>
      </w:r>
      <w:r w:rsidRPr="00A262E4">
        <w:rPr>
          <w:rFonts w:ascii="Perpetua" w:eastAsia="Calibri" w:hAnsi="Perpetua" w:cs="Arial"/>
          <w:vertAlign w:val="superscript"/>
        </w:rPr>
        <w:t>1</w:t>
      </w:r>
      <w:r w:rsidRPr="00A262E4">
        <w:rPr>
          <w:rFonts w:ascii="Perpetua" w:eastAsia="Calibri" w:hAnsi="Perpetua" w:cs="Arial"/>
        </w:rPr>
        <w:t xml:space="preserve"> </w:t>
      </w:r>
      <w:hyperlink r:id="rId9" w:history="1">
        <w:r w:rsidRPr="00A262E4">
          <w:rPr>
            <w:rStyle w:val="Hipervnculo"/>
            <w:rFonts w:ascii="Perpetua" w:eastAsia="Calibri" w:hAnsi="Perpetua" w:cs="Arial"/>
          </w:rPr>
          <w:t>https://orcid.org/0000-0003-0991-6376</w:t>
        </w:r>
      </w:hyperlink>
    </w:p>
    <w:p w14:paraId="29BE1DF9" w14:textId="77777777" w:rsidR="00BE2F7C" w:rsidRDefault="00051EBC">
      <w:pPr>
        <w:rPr>
          <w:rFonts w:ascii="Perpetua" w:hAnsi="Perpetua"/>
        </w:rPr>
      </w:pPr>
      <w:r w:rsidRPr="00A262E4">
        <w:rPr>
          <w:rStyle w:val="Hipervnculo"/>
          <w:rFonts w:ascii="Perpetua" w:eastAsia="Calibri" w:hAnsi="Perpetua" w:cs="Arial"/>
          <w:color w:val="auto"/>
          <w:u w:val="none"/>
        </w:rPr>
        <w:t>Deborah Cabrera Rodríguez</w:t>
      </w:r>
      <w:r w:rsidRPr="00A262E4">
        <w:rPr>
          <w:rStyle w:val="Hipervnculo"/>
          <w:rFonts w:ascii="Perpetua" w:eastAsia="Calibri" w:hAnsi="Perpetua" w:cs="Arial"/>
          <w:color w:val="auto"/>
          <w:u w:val="none"/>
          <w:vertAlign w:val="superscript"/>
        </w:rPr>
        <w:t>2</w:t>
      </w:r>
      <w:r w:rsidRPr="00A262E4">
        <w:rPr>
          <w:rStyle w:val="Hipervnculo"/>
          <w:rFonts w:ascii="Perpetua" w:eastAsia="Calibri" w:hAnsi="Perpetua" w:cs="Arial"/>
          <w:color w:val="auto"/>
          <w:u w:val="none"/>
        </w:rPr>
        <w:t xml:space="preserve"> </w:t>
      </w:r>
      <w:hyperlink r:id="rId10" w:history="1">
        <w:r w:rsidRPr="00A262E4">
          <w:rPr>
            <w:rStyle w:val="Hipervnculo"/>
            <w:rFonts w:ascii="Perpetua" w:hAnsi="Perpetua" w:cs="Arial"/>
          </w:rPr>
          <w:t>https://orcid.org/0009-0002-1156-0225</w:t>
        </w:r>
      </w:hyperlink>
    </w:p>
    <w:p w14:paraId="7D909492" w14:textId="77777777" w:rsidR="00051EBC" w:rsidRPr="00A262E4" w:rsidRDefault="00051EBC">
      <w:pPr>
        <w:rPr>
          <w:rFonts w:ascii="Perpetua" w:hAnsi="Perpetua"/>
        </w:rPr>
      </w:pPr>
    </w:p>
    <w:p w14:paraId="2EA0B14E" w14:textId="77777777" w:rsidR="00901DE6" w:rsidRPr="00A262E4" w:rsidRDefault="00901DE6" w:rsidP="00CC7F5A">
      <w:pPr>
        <w:spacing w:line="360" w:lineRule="auto"/>
        <w:ind w:left="142" w:hanging="142"/>
        <w:jc w:val="both"/>
        <w:rPr>
          <w:rFonts w:ascii="Perpetua" w:hAnsi="Perpetua" w:cs="Arial"/>
        </w:rPr>
      </w:pPr>
      <w:r w:rsidRPr="00A262E4">
        <w:rPr>
          <w:rFonts w:ascii="Perpetua" w:eastAsia="Calibri" w:hAnsi="Perpetua" w:cs="Arial"/>
          <w:vertAlign w:val="superscript"/>
        </w:rPr>
        <w:t>1</w:t>
      </w:r>
      <w:r w:rsidRPr="00A262E4">
        <w:rPr>
          <w:rFonts w:ascii="Perpetua" w:eastAsia="Calibri" w:hAnsi="Perpetua" w:cs="Arial"/>
        </w:rPr>
        <w:t xml:space="preserve">Hospital  Clínico Quirúrgico Docente </w:t>
      </w:r>
      <w:r w:rsidRPr="00A262E4">
        <w:rPr>
          <w:rFonts w:ascii="Perpetua" w:hAnsi="Perpetua" w:cs="Arial"/>
        </w:rPr>
        <w:t>“</w:t>
      </w:r>
      <w:r w:rsidRPr="00A262E4">
        <w:rPr>
          <w:rFonts w:ascii="Perpetua" w:eastAsia="Calibri" w:hAnsi="Perpetua" w:cs="Arial"/>
        </w:rPr>
        <w:t>Dr. Miguel Enríquez</w:t>
      </w:r>
      <w:r w:rsidRPr="00A262E4">
        <w:rPr>
          <w:rFonts w:ascii="Perpetua" w:hAnsi="Perpetua" w:cs="Arial"/>
        </w:rPr>
        <w:t>”.</w:t>
      </w:r>
      <w:r w:rsidR="00CC7F5A" w:rsidRPr="00A262E4">
        <w:rPr>
          <w:rFonts w:ascii="Perpetua" w:hAnsi="Perpetua" w:cs="Arial"/>
        </w:rPr>
        <w:t xml:space="preserve"> Depart</w:t>
      </w:r>
      <w:r w:rsidR="00654596" w:rsidRPr="00A262E4">
        <w:rPr>
          <w:rFonts w:ascii="Perpetua" w:hAnsi="Perpetua" w:cs="Arial"/>
        </w:rPr>
        <w:t>amento de Neurología. La Habana -</w:t>
      </w:r>
      <w:r w:rsidR="00CC7F5A" w:rsidRPr="00A262E4">
        <w:rPr>
          <w:rFonts w:ascii="Perpetua" w:hAnsi="Perpetua" w:cs="Arial"/>
        </w:rPr>
        <w:t xml:space="preserve"> </w:t>
      </w:r>
      <w:r w:rsidRPr="00A262E4">
        <w:rPr>
          <w:rFonts w:ascii="Perpetua" w:hAnsi="Perpetua" w:cs="Arial"/>
        </w:rPr>
        <w:t>Cuba.</w:t>
      </w:r>
    </w:p>
    <w:p w14:paraId="65BED85F" w14:textId="77777777" w:rsidR="00901DE6" w:rsidRPr="00A262E4" w:rsidRDefault="00901DE6">
      <w:pPr>
        <w:rPr>
          <w:rFonts w:ascii="Perpetua" w:hAnsi="Perpetua"/>
        </w:rPr>
      </w:pPr>
    </w:p>
    <w:p w14:paraId="657FA8F3" w14:textId="77777777" w:rsidR="00075314" w:rsidRPr="00051EBC" w:rsidRDefault="002A561A" w:rsidP="00A20B37">
      <w:pPr>
        <w:spacing w:line="360" w:lineRule="auto"/>
        <w:ind w:left="142" w:hanging="142"/>
        <w:rPr>
          <w:rFonts w:ascii="Perpetua" w:hAnsi="Perpetua"/>
          <w:vertAlign w:val="superscript"/>
        </w:rPr>
      </w:pPr>
      <w:r w:rsidRPr="00A262E4">
        <w:rPr>
          <w:rFonts w:ascii="Perpetua" w:hAnsi="Perpetua" w:cs="Arial"/>
          <w:vertAlign w:val="superscript"/>
        </w:rPr>
        <w:t>2</w:t>
      </w:r>
      <w:r w:rsidR="00D42ADB" w:rsidRPr="00A262E4">
        <w:rPr>
          <w:rFonts w:ascii="Perpetua" w:hAnsi="Perpetua" w:cs="Arial"/>
          <w:vertAlign w:val="superscript"/>
        </w:rPr>
        <w:t xml:space="preserve"> </w:t>
      </w:r>
      <w:r w:rsidR="00D42ADB" w:rsidRPr="00A262E4">
        <w:rPr>
          <w:rFonts w:ascii="Perpetua" w:hAnsi="Perpetua" w:cs="Arial"/>
        </w:rPr>
        <w:t xml:space="preserve">Universidad de Ciencias Médicas, Facultad de Ciencias Médicas “Miguel  Enríquez”.  </w:t>
      </w:r>
      <w:r w:rsidR="00654596" w:rsidRPr="00051EBC">
        <w:rPr>
          <w:rFonts w:ascii="Perpetua" w:hAnsi="Perpetua" w:cs="Arial"/>
        </w:rPr>
        <w:t>La   Habana</w:t>
      </w:r>
      <w:r w:rsidR="00A262E4" w:rsidRPr="00051EBC">
        <w:rPr>
          <w:rFonts w:ascii="Perpetua" w:hAnsi="Perpetua" w:cs="Arial"/>
        </w:rPr>
        <w:t xml:space="preserve"> </w:t>
      </w:r>
      <w:r w:rsidR="00654596" w:rsidRPr="00051EBC">
        <w:rPr>
          <w:rFonts w:ascii="Perpetua" w:hAnsi="Perpetua" w:cs="Arial"/>
        </w:rPr>
        <w:t>-</w:t>
      </w:r>
      <w:r w:rsidR="00A262E4" w:rsidRPr="00051EBC">
        <w:rPr>
          <w:rFonts w:ascii="Perpetua" w:hAnsi="Perpetua" w:cs="Arial"/>
        </w:rPr>
        <w:t xml:space="preserve"> </w:t>
      </w:r>
      <w:r w:rsidR="00D42ADB" w:rsidRPr="00051EBC">
        <w:rPr>
          <w:rFonts w:ascii="Perpetua" w:hAnsi="Perpetua" w:cs="Arial"/>
        </w:rPr>
        <w:t>Cuba.</w:t>
      </w:r>
    </w:p>
    <w:p w14:paraId="15DE9ABA" w14:textId="77777777" w:rsidR="00075314" w:rsidRPr="00051EBC" w:rsidRDefault="00075314">
      <w:pPr>
        <w:rPr>
          <w:rFonts w:ascii="Perpetua" w:hAnsi="Perpetua"/>
        </w:rPr>
      </w:pPr>
    </w:p>
    <w:p w14:paraId="17E28B58" w14:textId="77777777" w:rsidR="00006448" w:rsidRPr="00A262E4" w:rsidRDefault="00006448" w:rsidP="001C2F8F">
      <w:pPr>
        <w:spacing w:line="360" w:lineRule="auto"/>
        <w:ind w:hanging="142"/>
        <w:jc w:val="both"/>
        <w:rPr>
          <w:rFonts w:ascii="Perpetua" w:eastAsia="Calibri" w:hAnsi="Perpetua" w:cs="Arial"/>
        </w:rPr>
      </w:pPr>
      <w:r w:rsidRPr="00A262E4">
        <w:rPr>
          <w:rFonts w:ascii="Perpetua" w:hAnsi="Perpetua" w:cs="Arial"/>
          <w:b/>
        </w:rPr>
        <w:t xml:space="preserve">  </w:t>
      </w:r>
      <w:r w:rsidRPr="00A262E4">
        <w:rPr>
          <w:rFonts w:ascii="Perpetua" w:eastAsia="Calibri" w:hAnsi="Perpetua" w:cs="Arial"/>
        </w:rPr>
        <w:t>RESUMEN</w:t>
      </w:r>
    </w:p>
    <w:p w14:paraId="6908642A" w14:textId="77777777" w:rsidR="00546D56" w:rsidRPr="00A262E4" w:rsidRDefault="00006448" w:rsidP="00D65896">
      <w:pPr>
        <w:spacing w:before="100" w:beforeAutospacing="1" w:line="360" w:lineRule="auto"/>
        <w:jc w:val="both"/>
        <w:rPr>
          <w:rFonts w:ascii="Perpetua" w:hAnsi="Perpetua" w:cs="Arial"/>
        </w:rPr>
      </w:pPr>
      <w:bookmarkStart w:id="0" w:name="_GoBack"/>
      <w:r w:rsidRPr="00A262E4">
        <w:rPr>
          <w:rFonts w:ascii="Perpetua" w:eastAsia="Calibri" w:hAnsi="Perpetua" w:cs="Arial"/>
        </w:rPr>
        <w:t>Introducción:</w:t>
      </w:r>
      <w:r w:rsidRPr="00A262E4">
        <w:rPr>
          <w:rFonts w:ascii="Perpetua" w:hAnsi="Perpetua" w:cs="Arial"/>
          <w:color w:val="000000"/>
        </w:rPr>
        <w:t xml:space="preserve"> </w:t>
      </w:r>
      <w:r w:rsidR="00B508B1" w:rsidRPr="00A262E4">
        <w:rPr>
          <w:rFonts w:ascii="Perpetua" w:hAnsi="Perpetua" w:cs="Arial"/>
        </w:rPr>
        <w:t xml:space="preserve">La toxoplasmosis cerebral es una de las infecciones oportunistas más </w:t>
      </w:r>
      <w:r w:rsidR="0039275B" w:rsidRPr="00A262E4">
        <w:rPr>
          <w:rFonts w:ascii="Perpetua" w:hAnsi="Perpetua" w:cs="Arial"/>
        </w:rPr>
        <w:t>frecuentes en los pacientes VIH positivos</w:t>
      </w:r>
      <w:r w:rsidR="00B508B1" w:rsidRPr="00A262E4">
        <w:rPr>
          <w:rFonts w:ascii="Perpetua" w:hAnsi="Perpetua" w:cs="Arial"/>
        </w:rPr>
        <w:t>.</w:t>
      </w:r>
      <w:r w:rsidR="006A1C12" w:rsidRPr="00A262E4">
        <w:rPr>
          <w:rFonts w:ascii="Perpetua" w:hAnsi="Perpetua" w:cs="Arial"/>
        </w:rPr>
        <w:t xml:space="preserve"> El cuadro clínico está dado por confusión, trastornos de la personalidad, letargia y sig</w:t>
      </w:r>
      <w:r w:rsidR="00546D56" w:rsidRPr="00A262E4">
        <w:rPr>
          <w:rFonts w:ascii="Perpetua" w:hAnsi="Perpetua" w:cs="Arial"/>
        </w:rPr>
        <w:t>nos de focalización neurológica</w:t>
      </w:r>
      <w:r w:rsidR="006A1C12" w:rsidRPr="00A262E4">
        <w:rPr>
          <w:rFonts w:ascii="Perpetua" w:hAnsi="Perpetua" w:cs="Arial"/>
        </w:rPr>
        <w:t>.</w:t>
      </w:r>
      <w:r w:rsidR="00546D56" w:rsidRPr="00A262E4">
        <w:rPr>
          <w:rFonts w:ascii="Perpetua" w:hAnsi="Perpetua" w:cs="Arial"/>
        </w:rPr>
        <w:t xml:space="preserve"> </w:t>
      </w:r>
      <w:r w:rsidR="006A1C12" w:rsidRPr="00A262E4">
        <w:rPr>
          <w:rFonts w:ascii="Perpetua" w:hAnsi="Perpetua" w:cs="Arial"/>
        </w:rPr>
        <w:t>Se localiza</w:t>
      </w:r>
      <w:r w:rsidR="005D011F" w:rsidRPr="00A262E4">
        <w:rPr>
          <w:rFonts w:ascii="Perpetua" w:hAnsi="Perpetua" w:cs="Arial"/>
        </w:rPr>
        <w:t xml:space="preserve"> generalmente en los ganglios ba</w:t>
      </w:r>
      <w:r w:rsidR="006A1C12" w:rsidRPr="00A262E4">
        <w:rPr>
          <w:rFonts w:ascii="Perpetua" w:hAnsi="Perpetua" w:cs="Arial"/>
        </w:rPr>
        <w:t>sales y puede presentar lesiones únicas o múltiples</w:t>
      </w:r>
      <w:r w:rsidR="00546D56" w:rsidRPr="00A262E4">
        <w:rPr>
          <w:rFonts w:ascii="Perpetua" w:hAnsi="Perpetua" w:cs="Arial"/>
        </w:rPr>
        <w:t>.</w:t>
      </w:r>
    </w:p>
    <w:p w14:paraId="01F79E1E" w14:textId="77777777" w:rsidR="00D65896" w:rsidRPr="00A262E4" w:rsidRDefault="00006448" w:rsidP="00D65896">
      <w:pPr>
        <w:spacing w:before="100" w:beforeAutospacing="1" w:line="360" w:lineRule="auto"/>
        <w:jc w:val="both"/>
        <w:rPr>
          <w:rFonts w:ascii="Perpetua" w:eastAsia="Calibri" w:hAnsi="Perpetua" w:cs="Arial"/>
        </w:rPr>
      </w:pPr>
      <w:r w:rsidRPr="00A262E4">
        <w:rPr>
          <w:rFonts w:ascii="Perpetua" w:eastAsia="Calibri" w:hAnsi="Perpetua" w:cs="Arial"/>
        </w:rPr>
        <w:t>Objetivo:</w:t>
      </w:r>
      <w:r w:rsidRPr="00A262E4">
        <w:rPr>
          <w:rFonts w:ascii="Perpetua" w:eastAsia="Calibri" w:hAnsi="Perpetua" w:cs="Arial"/>
          <w:b/>
        </w:rPr>
        <w:t xml:space="preserve"> </w:t>
      </w:r>
      <w:r w:rsidRPr="00A262E4">
        <w:rPr>
          <w:rFonts w:ascii="Perpetua" w:eastAsia="Calibri" w:hAnsi="Perpetua" w:cs="Arial"/>
        </w:rPr>
        <w:t>describir las características clínicas</w:t>
      </w:r>
      <w:r w:rsidR="00A9334A" w:rsidRPr="00A262E4">
        <w:rPr>
          <w:rFonts w:ascii="Perpetua" w:eastAsia="Calibri" w:hAnsi="Perpetua" w:cs="Arial"/>
        </w:rPr>
        <w:t xml:space="preserve"> e </w:t>
      </w:r>
      <w:proofErr w:type="spellStart"/>
      <w:r w:rsidR="00A9334A" w:rsidRPr="00A262E4">
        <w:rPr>
          <w:rFonts w:ascii="Perpetua" w:eastAsia="Calibri" w:hAnsi="Perpetua" w:cs="Arial"/>
        </w:rPr>
        <w:t>imagenol</w:t>
      </w:r>
      <w:r w:rsidR="00A9334A" w:rsidRPr="00A262E4">
        <w:rPr>
          <w:rFonts w:ascii="Perpetua" w:hAnsi="Perpetua" w:cs="Arial"/>
        </w:rPr>
        <w:t>ó</w:t>
      </w:r>
      <w:r w:rsidR="00A9334A" w:rsidRPr="00A262E4">
        <w:rPr>
          <w:rFonts w:ascii="Perpetua" w:eastAsia="Calibri" w:hAnsi="Perpetua" w:cs="Arial"/>
        </w:rPr>
        <w:t>gicas</w:t>
      </w:r>
      <w:proofErr w:type="spellEnd"/>
      <w:r w:rsidR="00A9334A" w:rsidRPr="00A262E4">
        <w:rPr>
          <w:rFonts w:ascii="Perpetua" w:eastAsia="Calibri" w:hAnsi="Perpetua" w:cs="Arial"/>
        </w:rPr>
        <w:t xml:space="preserve"> </w:t>
      </w:r>
      <w:r w:rsidRPr="00A262E4">
        <w:rPr>
          <w:rFonts w:ascii="Perpetua" w:eastAsia="Calibri" w:hAnsi="Perpetua" w:cs="Arial"/>
        </w:rPr>
        <w:t>e</w:t>
      </w:r>
      <w:r w:rsidR="00BF449A" w:rsidRPr="00A262E4">
        <w:rPr>
          <w:rFonts w:ascii="Perpetua" w:eastAsia="Calibri" w:hAnsi="Perpetua" w:cs="Arial"/>
        </w:rPr>
        <w:t>n</w:t>
      </w:r>
      <w:r w:rsidRPr="00A262E4">
        <w:rPr>
          <w:rFonts w:ascii="Perpetua" w:eastAsia="Calibri" w:hAnsi="Perpetua" w:cs="Arial"/>
        </w:rPr>
        <w:t xml:space="preserve"> </w:t>
      </w:r>
      <w:r w:rsidR="00F46CF4" w:rsidRPr="00A262E4">
        <w:rPr>
          <w:rFonts w:ascii="Perpetua" w:eastAsia="Calibri" w:hAnsi="Perpetua" w:cs="Arial"/>
        </w:rPr>
        <w:t xml:space="preserve">pacientes con </w:t>
      </w:r>
      <w:r w:rsidR="00BF449A" w:rsidRPr="00A262E4">
        <w:rPr>
          <w:rFonts w:ascii="Perpetua" w:eastAsia="Calibri" w:hAnsi="Perpetua" w:cs="Arial"/>
        </w:rPr>
        <w:t xml:space="preserve">diagnóstico de </w:t>
      </w:r>
      <w:proofErr w:type="spellStart"/>
      <w:r w:rsidR="00F46CF4" w:rsidRPr="00A262E4">
        <w:rPr>
          <w:rFonts w:ascii="Perpetua" w:eastAsia="Calibri" w:hAnsi="Perpetua" w:cs="Arial"/>
        </w:rPr>
        <w:t>neurotoxoplasmosis</w:t>
      </w:r>
      <w:proofErr w:type="spellEnd"/>
      <w:r w:rsidR="00F46CF4" w:rsidRPr="00A262E4">
        <w:rPr>
          <w:rFonts w:ascii="Perpetua" w:eastAsia="Calibri" w:hAnsi="Perpetua" w:cs="Arial"/>
        </w:rPr>
        <w:t>.</w:t>
      </w:r>
    </w:p>
    <w:p w14:paraId="137985DF" w14:textId="77777777" w:rsidR="00006448" w:rsidRPr="00A262E4" w:rsidRDefault="00F46CF4" w:rsidP="00D65896">
      <w:pPr>
        <w:spacing w:before="100" w:beforeAutospacing="1" w:line="360" w:lineRule="auto"/>
        <w:jc w:val="both"/>
        <w:rPr>
          <w:rFonts w:ascii="Perpetua" w:hAnsi="Perpetua" w:cs="Arial"/>
        </w:rPr>
      </w:pPr>
      <w:r w:rsidRPr="00A262E4">
        <w:rPr>
          <w:rFonts w:ascii="Perpetua" w:eastAsia="Calibri" w:hAnsi="Perpetua" w:cs="Arial"/>
        </w:rPr>
        <w:t xml:space="preserve"> </w:t>
      </w:r>
      <w:r w:rsidR="005921AF" w:rsidRPr="00A262E4">
        <w:rPr>
          <w:rFonts w:ascii="Perpetua" w:eastAsia="Calibri" w:hAnsi="Perpetua" w:cs="Arial"/>
        </w:rPr>
        <w:t>Métodos</w:t>
      </w:r>
      <w:r w:rsidR="00006448" w:rsidRPr="00A262E4">
        <w:rPr>
          <w:rFonts w:ascii="Perpetua" w:eastAsia="Calibri" w:hAnsi="Perpetua" w:cs="Arial"/>
        </w:rPr>
        <w:t>:</w:t>
      </w:r>
      <w:r w:rsidR="00006448" w:rsidRPr="00A262E4">
        <w:rPr>
          <w:rFonts w:ascii="Perpetua" w:eastAsia="Calibri" w:hAnsi="Perpetua" w:cs="Arial"/>
          <w:b/>
        </w:rPr>
        <w:t xml:space="preserve"> </w:t>
      </w:r>
      <w:r w:rsidR="00006448" w:rsidRPr="00A262E4">
        <w:rPr>
          <w:rFonts w:ascii="Perpetua" w:hAnsi="Perpetua" w:cs="Arial"/>
        </w:rPr>
        <w:t>se realizó un estudio observacional, descriptivo y de corte transversal. Se empleó para el análisis de los datos la estadística descriptiva y se utilizó el estadístico ji-cuadrado para determinar la posible asociación entre variables cualitativas.</w:t>
      </w:r>
      <w:r w:rsidR="001876CB" w:rsidRPr="00A262E4">
        <w:rPr>
          <w:rFonts w:ascii="Perpetua" w:hAnsi="Perpetua" w:cs="Arial"/>
          <w:lang w:val="es-CR"/>
        </w:rPr>
        <w:t xml:space="preserve"> </w:t>
      </w:r>
    </w:p>
    <w:p w14:paraId="38116C7E" w14:textId="77777777" w:rsidR="00EA7AD0" w:rsidRPr="00A262E4" w:rsidRDefault="00006448" w:rsidP="00D65896">
      <w:pPr>
        <w:spacing w:line="360" w:lineRule="auto"/>
        <w:jc w:val="both"/>
        <w:rPr>
          <w:rFonts w:ascii="Perpetua" w:hAnsi="Perpetua" w:cs="Arial"/>
          <w:lang w:val="es-CR"/>
        </w:rPr>
      </w:pPr>
      <w:r w:rsidRPr="00A262E4">
        <w:rPr>
          <w:rFonts w:ascii="Perpetua" w:eastAsia="Calibri" w:hAnsi="Perpetua" w:cs="Arial"/>
        </w:rPr>
        <w:t>Resultados:</w:t>
      </w:r>
      <w:r w:rsidRPr="00A262E4">
        <w:rPr>
          <w:rFonts w:ascii="Perpetua" w:eastAsia="Calibri" w:hAnsi="Perpetua" w:cs="Arial"/>
          <w:b/>
        </w:rPr>
        <w:t xml:space="preserve"> </w:t>
      </w:r>
      <w:r w:rsidR="00EA7AD0" w:rsidRPr="00A262E4">
        <w:rPr>
          <w:rFonts w:ascii="Perpetua" w:hAnsi="Perpetua" w:cs="Arial"/>
          <w:lang w:val="es-CR"/>
        </w:rPr>
        <w:t>el promedio de edad fue de 38,2 años (DE= 9,66). De ellos 53 (75,7%) pacientes correspondieron al sexo masculino y 17 (24,3%) al sexo femenino.</w:t>
      </w:r>
      <w:r w:rsidR="00975606" w:rsidRPr="00A262E4">
        <w:rPr>
          <w:rFonts w:ascii="Perpetua" w:hAnsi="Perpetua" w:cs="Arial"/>
        </w:rPr>
        <w:t xml:space="preserve"> </w:t>
      </w:r>
      <w:proofErr w:type="spellStart"/>
      <w:r w:rsidR="00975606" w:rsidRPr="00A262E4">
        <w:rPr>
          <w:rFonts w:ascii="Perpetua" w:hAnsi="Perpetua" w:cs="Arial"/>
        </w:rPr>
        <w:t>Predomiraron</w:t>
      </w:r>
      <w:proofErr w:type="spellEnd"/>
      <w:r w:rsidR="00975606" w:rsidRPr="00A262E4">
        <w:rPr>
          <w:rFonts w:ascii="Perpetua" w:hAnsi="Perpetua" w:cs="Arial"/>
        </w:rPr>
        <w:t xml:space="preserve"> los pacientes que consumían medicamentos antirretrovirales (62,9%).</w:t>
      </w:r>
      <w:r w:rsidR="001876CB" w:rsidRPr="00A262E4">
        <w:rPr>
          <w:rFonts w:ascii="Perpetua" w:hAnsi="Perpetua" w:cs="Arial"/>
          <w:lang w:val="es-CR"/>
        </w:rPr>
        <w:t xml:space="preserve"> Las principales manifestaciones clínicas observadas fueron la cefalea (72,9%), el defecto motor (</w:t>
      </w:r>
      <w:r w:rsidR="00201376" w:rsidRPr="00A262E4">
        <w:rPr>
          <w:rFonts w:ascii="Perpetua" w:hAnsi="Perpetua" w:cs="Arial"/>
          <w:color w:val="333333"/>
        </w:rPr>
        <w:t>54,</w:t>
      </w:r>
      <w:r w:rsidR="001876CB" w:rsidRPr="00A262E4">
        <w:rPr>
          <w:rFonts w:ascii="Perpetua" w:hAnsi="Perpetua" w:cs="Arial"/>
          <w:color w:val="333333"/>
        </w:rPr>
        <w:t>3</w:t>
      </w:r>
      <w:r w:rsidR="001876CB" w:rsidRPr="00A262E4">
        <w:rPr>
          <w:color w:val="333333"/>
        </w:rPr>
        <w:t> </w:t>
      </w:r>
      <w:r w:rsidR="001876CB" w:rsidRPr="00A262E4">
        <w:rPr>
          <w:rFonts w:ascii="Perpetua" w:hAnsi="Perpetua" w:cs="Arial"/>
          <w:color w:val="333333"/>
        </w:rPr>
        <w:t>%) y la toma de consciencia (50%). Se reportaron diferencias estadísticamente significativas entre las proporciones de los niveles de las variables</w:t>
      </w:r>
      <w:r w:rsidR="00B1237B" w:rsidRPr="00A262E4">
        <w:rPr>
          <w:rFonts w:ascii="Perpetua" w:hAnsi="Perpetua" w:cs="Arial"/>
          <w:color w:val="333333"/>
        </w:rPr>
        <w:t xml:space="preserve"> condición al egreso y </w:t>
      </w:r>
      <w:r w:rsidR="00B1237B" w:rsidRPr="00A262E4">
        <w:rPr>
          <w:rFonts w:ascii="Perpetua" w:hAnsi="Perpetua" w:cs="Arial"/>
        </w:rPr>
        <w:t>nivel de CD4 (X</w:t>
      </w:r>
      <w:r w:rsidR="00B1237B" w:rsidRPr="00A262E4">
        <w:rPr>
          <w:rFonts w:ascii="Perpetua" w:hAnsi="Perpetua" w:cs="Arial"/>
          <w:vertAlign w:val="superscript"/>
        </w:rPr>
        <w:t>2</w:t>
      </w:r>
      <w:r w:rsidR="00B1237B" w:rsidRPr="00A262E4">
        <w:rPr>
          <w:rFonts w:ascii="Perpetua" w:hAnsi="Perpetua" w:cs="Arial"/>
        </w:rPr>
        <w:t>(2) = 6,19, p</w:t>
      </w:r>
      <w:r w:rsidR="00653C0F" w:rsidRPr="00A262E4">
        <w:rPr>
          <w:rFonts w:ascii="Perpetua" w:hAnsi="Perpetua" w:cs="Arial"/>
          <w:i/>
        </w:rPr>
        <w:t xml:space="preserve"> </w:t>
      </w:r>
      <w:r w:rsidR="00B1237B" w:rsidRPr="00A262E4">
        <w:rPr>
          <w:rFonts w:ascii="Perpetua" w:hAnsi="Perpetua" w:cs="Arial"/>
        </w:rPr>
        <w:t>&lt;</w:t>
      </w:r>
      <w:r w:rsidR="00653C0F" w:rsidRPr="00A262E4">
        <w:rPr>
          <w:rFonts w:ascii="Perpetua" w:hAnsi="Perpetua" w:cs="Arial"/>
        </w:rPr>
        <w:t xml:space="preserve"> </w:t>
      </w:r>
      <w:r w:rsidR="00B1237B" w:rsidRPr="00A262E4">
        <w:rPr>
          <w:rFonts w:ascii="Perpetua" w:hAnsi="Perpetua" w:cs="Arial"/>
        </w:rPr>
        <w:t>0,05)</w:t>
      </w:r>
      <w:r w:rsidR="001876CB" w:rsidRPr="00A262E4">
        <w:rPr>
          <w:rFonts w:ascii="Perpetua" w:hAnsi="Perpetua" w:cs="Arial"/>
          <w:color w:val="333333"/>
        </w:rPr>
        <w:t>.</w:t>
      </w:r>
      <w:r w:rsidR="00A275E6" w:rsidRPr="00A262E4">
        <w:rPr>
          <w:rFonts w:ascii="Perpetua" w:hAnsi="Perpetua" w:cs="Arial"/>
          <w:color w:val="333333"/>
        </w:rPr>
        <w:t xml:space="preserve"> </w:t>
      </w:r>
      <w:r w:rsidR="00C06E41" w:rsidRPr="00A262E4">
        <w:rPr>
          <w:rFonts w:ascii="Perpetua" w:hAnsi="Perpetua" w:cs="Arial"/>
          <w:color w:val="333333"/>
        </w:rPr>
        <w:t>Hubo</w:t>
      </w:r>
      <w:r w:rsidR="00A275E6" w:rsidRPr="00A262E4">
        <w:rPr>
          <w:rFonts w:ascii="Perpetua" w:hAnsi="Perpetua" w:cs="Arial"/>
          <w:color w:val="333333"/>
        </w:rPr>
        <w:t xml:space="preserve"> diferencias estadísticamente significativas entre </w:t>
      </w:r>
      <w:r w:rsidR="00A275E6" w:rsidRPr="00A262E4">
        <w:rPr>
          <w:rFonts w:ascii="Perpetua" w:hAnsi="Perpetua" w:cs="Arial"/>
          <w:color w:val="333333"/>
        </w:rPr>
        <w:lastRenderedPageBreak/>
        <w:t>las proporciones de los niveles de las variables condición al egreso y lesiones en TC (X</w:t>
      </w:r>
      <w:r w:rsidR="00A275E6" w:rsidRPr="00A262E4">
        <w:rPr>
          <w:rFonts w:ascii="Perpetua" w:hAnsi="Perpetua" w:cs="Arial"/>
          <w:color w:val="333333"/>
          <w:vertAlign w:val="superscript"/>
        </w:rPr>
        <w:t>2</w:t>
      </w:r>
      <w:r w:rsidR="00A275E6" w:rsidRPr="00A262E4">
        <w:rPr>
          <w:rFonts w:ascii="Perpetua" w:hAnsi="Perpetua" w:cs="Arial"/>
          <w:color w:val="333333"/>
        </w:rPr>
        <w:t>(8) = 18,6, p &lt; 0,05).</w:t>
      </w:r>
    </w:p>
    <w:p w14:paraId="0F7BFC43" w14:textId="77777777" w:rsidR="00AF01AD" w:rsidRPr="00A262E4" w:rsidRDefault="00006448" w:rsidP="00AF01AD">
      <w:pPr>
        <w:spacing w:line="360" w:lineRule="auto"/>
        <w:jc w:val="both"/>
        <w:rPr>
          <w:rFonts w:ascii="Perpetua" w:hAnsi="Perpetua" w:cs="Arial"/>
          <w:b/>
        </w:rPr>
      </w:pPr>
      <w:r w:rsidRPr="00A262E4">
        <w:rPr>
          <w:rFonts w:ascii="Perpetua" w:eastAsia="Calibri" w:hAnsi="Perpetua" w:cs="Arial"/>
        </w:rPr>
        <w:t>Conclusiones:</w:t>
      </w:r>
      <w:r w:rsidRPr="00A262E4">
        <w:rPr>
          <w:rFonts w:ascii="Perpetua" w:eastAsia="Calibri" w:hAnsi="Perpetua" w:cs="Arial"/>
          <w:b/>
        </w:rPr>
        <w:t xml:space="preserve"> </w:t>
      </w:r>
      <w:r w:rsidR="00AF01AD" w:rsidRPr="00A262E4">
        <w:rPr>
          <w:rFonts w:ascii="Perpetua" w:hAnsi="Perpetua" w:cs="Arial"/>
        </w:rPr>
        <w:t xml:space="preserve">La </w:t>
      </w:r>
      <w:proofErr w:type="spellStart"/>
      <w:r w:rsidR="00AF01AD" w:rsidRPr="00A262E4">
        <w:rPr>
          <w:rFonts w:ascii="Perpetua" w:hAnsi="Perpetua" w:cs="Arial"/>
        </w:rPr>
        <w:t>neurotoxoplasmosis</w:t>
      </w:r>
      <w:proofErr w:type="spellEnd"/>
      <w:r w:rsidR="00AF01AD" w:rsidRPr="00A262E4">
        <w:rPr>
          <w:rFonts w:ascii="Perpetua" w:hAnsi="Perpetua" w:cs="Arial"/>
        </w:rPr>
        <w:t xml:space="preserve"> es más frecuente en el sexo masculino y en pacientes mayores de 38 años. </w:t>
      </w:r>
      <w:r w:rsidR="00C86AB0" w:rsidRPr="00A262E4">
        <w:rPr>
          <w:rFonts w:ascii="Perpetua" w:hAnsi="Perpetua" w:cs="Arial"/>
        </w:rPr>
        <w:t>El conteo</w:t>
      </w:r>
      <w:r w:rsidR="00AF01AD" w:rsidRPr="00A262E4">
        <w:rPr>
          <w:rFonts w:ascii="Perpetua" w:hAnsi="Perpetua" w:cs="Arial"/>
        </w:rPr>
        <w:t xml:space="preserve"> de CD4 y el número de lesiones en la tomografía de cráneo influye</w:t>
      </w:r>
      <w:r w:rsidR="008F4BDD" w:rsidRPr="00A262E4">
        <w:rPr>
          <w:rFonts w:ascii="Perpetua" w:hAnsi="Perpetua" w:cs="Arial"/>
        </w:rPr>
        <w:t>n</w:t>
      </w:r>
      <w:r w:rsidR="00AF01AD" w:rsidRPr="00A262E4">
        <w:rPr>
          <w:rFonts w:ascii="Perpetua" w:hAnsi="Perpetua" w:cs="Arial"/>
        </w:rPr>
        <w:t xml:space="preserve"> en el pronóstico del paciente.</w:t>
      </w:r>
    </w:p>
    <w:p w14:paraId="22894BB1" w14:textId="77777777" w:rsidR="00006448" w:rsidRPr="00A262E4" w:rsidRDefault="00006448" w:rsidP="00006448">
      <w:pPr>
        <w:spacing w:line="360" w:lineRule="auto"/>
        <w:jc w:val="both"/>
        <w:rPr>
          <w:rFonts w:ascii="Perpetua" w:eastAsia="Calibri" w:hAnsi="Perpetua" w:cs="Arial"/>
          <w:b/>
        </w:rPr>
      </w:pPr>
    </w:p>
    <w:p w14:paraId="0829855E" w14:textId="77777777" w:rsidR="00006448" w:rsidRPr="00A262E4" w:rsidRDefault="00006448" w:rsidP="00006448">
      <w:pPr>
        <w:pStyle w:val="Default"/>
        <w:spacing w:line="360" w:lineRule="auto"/>
        <w:ind w:right="-285" w:hanging="142"/>
        <w:rPr>
          <w:rFonts w:ascii="Perpetua" w:eastAsia="Calibri" w:hAnsi="Perpetua" w:cs="Arial"/>
        </w:rPr>
      </w:pPr>
      <w:r w:rsidRPr="00A262E4">
        <w:rPr>
          <w:rFonts w:ascii="Perpetua" w:eastAsia="Calibri" w:hAnsi="Perpetua" w:cs="Arial"/>
          <w:b/>
        </w:rPr>
        <w:t xml:space="preserve">  </w:t>
      </w:r>
      <w:r w:rsidRPr="00A262E4">
        <w:rPr>
          <w:rFonts w:ascii="Perpetua" w:eastAsia="Calibri" w:hAnsi="Perpetua" w:cs="Arial"/>
        </w:rPr>
        <w:t>Palabras clave:</w:t>
      </w:r>
      <w:r w:rsidR="00BF449A" w:rsidRPr="00A262E4">
        <w:rPr>
          <w:rFonts w:ascii="Perpetua" w:eastAsia="Calibri" w:hAnsi="Perpetua" w:cs="Arial"/>
          <w:b/>
        </w:rPr>
        <w:t xml:space="preserve"> </w:t>
      </w:r>
      <w:proofErr w:type="spellStart"/>
      <w:r w:rsidR="00BF449A" w:rsidRPr="00A262E4">
        <w:rPr>
          <w:rFonts w:ascii="Perpetua" w:eastAsia="Calibri" w:hAnsi="Perpetua" w:cs="Arial"/>
          <w:color w:val="auto"/>
        </w:rPr>
        <w:t>neurotoxoplasmosis</w:t>
      </w:r>
      <w:proofErr w:type="spellEnd"/>
      <w:r w:rsidR="00BF449A" w:rsidRPr="00A262E4">
        <w:rPr>
          <w:rFonts w:ascii="Perpetua" w:eastAsia="Calibri" w:hAnsi="Perpetua" w:cs="Arial"/>
        </w:rPr>
        <w:t>,</w:t>
      </w:r>
      <w:r w:rsidR="008E1A6C" w:rsidRPr="00A262E4">
        <w:rPr>
          <w:rFonts w:ascii="Perpetua" w:eastAsia="Calibri" w:hAnsi="Perpetua" w:cs="Arial"/>
        </w:rPr>
        <w:t xml:space="preserve"> infección del sistema nervioso</w:t>
      </w:r>
      <w:r w:rsidR="00BF449A" w:rsidRPr="00A262E4">
        <w:rPr>
          <w:rFonts w:ascii="Perpetua" w:eastAsia="Calibri" w:hAnsi="Perpetua" w:cs="Arial"/>
        </w:rPr>
        <w:t xml:space="preserve"> </w:t>
      </w:r>
    </w:p>
    <w:p w14:paraId="3BEE263D" w14:textId="77777777" w:rsidR="00006448" w:rsidRPr="00A262E4" w:rsidRDefault="00006448" w:rsidP="00EF2338">
      <w:pPr>
        <w:pStyle w:val="Default"/>
        <w:spacing w:line="360" w:lineRule="auto"/>
        <w:ind w:left="142" w:right="-285" w:hanging="284"/>
        <w:rPr>
          <w:rFonts w:ascii="Perpetua" w:hAnsi="Perpetua" w:cs="Arial"/>
          <w:b/>
        </w:rPr>
      </w:pPr>
    </w:p>
    <w:bookmarkEnd w:id="0"/>
    <w:p w14:paraId="3A3DC9C1" w14:textId="77777777" w:rsidR="00DD0B88" w:rsidRPr="00A262E4" w:rsidRDefault="00DD0B88" w:rsidP="00DD0B88">
      <w:pPr>
        <w:spacing w:line="360" w:lineRule="auto"/>
        <w:rPr>
          <w:rFonts w:ascii="Perpetua" w:hAnsi="Perpetua" w:cs="Arial"/>
          <w:lang w:val="en-US"/>
        </w:rPr>
      </w:pPr>
      <w:r w:rsidRPr="00A262E4">
        <w:rPr>
          <w:rFonts w:ascii="Perpetua" w:hAnsi="Perpetua" w:cs="Arial"/>
          <w:lang w:val="en-US"/>
        </w:rPr>
        <w:t>ABSTRACT</w:t>
      </w:r>
    </w:p>
    <w:p w14:paraId="6F71B18D" w14:textId="77777777" w:rsidR="00DD0B88" w:rsidRPr="00A262E4" w:rsidRDefault="00DD0B88" w:rsidP="00DD0B88">
      <w:pPr>
        <w:spacing w:line="360" w:lineRule="auto"/>
        <w:rPr>
          <w:rFonts w:ascii="Perpetua" w:hAnsi="Perpetua" w:cs="Arial"/>
          <w:b/>
          <w:lang w:val="en-US"/>
        </w:rPr>
      </w:pPr>
    </w:p>
    <w:p w14:paraId="77B55027" w14:textId="77777777" w:rsidR="00DD0B88" w:rsidRPr="00A262E4" w:rsidRDefault="00DD0B88" w:rsidP="00DD0B88">
      <w:pPr>
        <w:spacing w:line="360" w:lineRule="auto"/>
        <w:jc w:val="both"/>
        <w:rPr>
          <w:rFonts w:ascii="Perpetua" w:hAnsi="Perpetua" w:cs="Arial"/>
          <w:lang w:val="en-US"/>
        </w:rPr>
      </w:pPr>
      <w:r w:rsidRPr="00A262E4">
        <w:rPr>
          <w:rFonts w:ascii="Perpetua" w:hAnsi="Perpetua" w:cs="Arial"/>
          <w:lang w:val="en-US"/>
        </w:rPr>
        <w:t>Introduction: Cerebral toxoplasmosis is one of the most common opportunistic infections in HIV- positive patients. The clinical picture is given by confusion, personality disorders, lethargy and signs of neurological focus. It is generally located in the basal ganglia and may present single or multiple lesions.</w:t>
      </w:r>
    </w:p>
    <w:p w14:paraId="01D0D199" w14:textId="77777777" w:rsidR="00DD0B88" w:rsidRPr="00A262E4" w:rsidRDefault="00DD0B88" w:rsidP="00DD0B88">
      <w:pPr>
        <w:spacing w:line="360" w:lineRule="auto"/>
        <w:jc w:val="both"/>
        <w:rPr>
          <w:rFonts w:ascii="Perpetua" w:hAnsi="Perpetua" w:cs="Arial"/>
          <w:lang w:val="en-US"/>
        </w:rPr>
      </w:pPr>
      <w:r w:rsidRPr="00A262E4">
        <w:rPr>
          <w:rFonts w:ascii="Perpetua" w:hAnsi="Perpetua" w:cs="Arial"/>
          <w:lang w:val="en-US"/>
        </w:rPr>
        <w:t>Aim:</w:t>
      </w:r>
      <w:r w:rsidRPr="00A262E4">
        <w:rPr>
          <w:rFonts w:ascii="Perpetua" w:hAnsi="Perpetua" w:cs="Arial"/>
          <w:b/>
          <w:lang w:val="en-US"/>
        </w:rPr>
        <w:t xml:space="preserve"> </w:t>
      </w:r>
      <w:r w:rsidRPr="00A262E4">
        <w:rPr>
          <w:rFonts w:ascii="Perpetua" w:hAnsi="Perpetua" w:cs="Arial"/>
          <w:lang w:val="en-US"/>
        </w:rPr>
        <w:t xml:space="preserve">to describe clinical and imaging characteristics in patients diagnosed with </w:t>
      </w:r>
      <w:proofErr w:type="spellStart"/>
      <w:r w:rsidRPr="00A262E4">
        <w:rPr>
          <w:rFonts w:ascii="Perpetua" w:hAnsi="Perpetua" w:cs="Arial"/>
          <w:lang w:val="en-US"/>
        </w:rPr>
        <w:t>toxoplasmic</w:t>
      </w:r>
      <w:proofErr w:type="spellEnd"/>
      <w:r w:rsidRPr="00A262E4">
        <w:rPr>
          <w:rFonts w:ascii="Perpetua" w:hAnsi="Perpetua" w:cs="Arial"/>
          <w:lang w:val="en-US"/>
        </w:rPr>
        <w:t xml:space="preserve"> encephalitis.</w:t>
      </w:r>
    </w:p>
    <w:p w14:paraId="43057D93" w14:textId="77777777" w:rsidR="00DD0B88" w:rsidRPr="00A262E4" w:rsidRDefault="00DD0B88" w:rsidP="00DD0B88">
      <w:pPr>
        <w:spacing w:line="360" w:lineRule="auto"/>
        <w:jc w:val="both"/>
        <w:rPr>
          <w:rFonts w:ascii="Perpetua" w:hAnsi="Perpetua" w:cs="Arial"/>
          <w:lang w:val="en-US"/>
        </w:rPr>
      </w:pPr>
      <w:r w:rsidRPr="00A262E4">
        <w:rPr>
          <w:rFonts w:ascii="Perpetua" w:hAnsi="Perpetua" w:cs="Arial"/>
          <w:lang w:val="en-US"/>
        </w:rPr>
        <w:t>Methods:</w:t>
      </w:r>
      <w:r w:rsidRPr="00A262E4">
        <w:rPr>
          <w:rFonts w:ascii="Perpetua" w:hAnsi="Perpetua" w:cs="Arial"/>
          <w:b/>
          <w:lang w:val="en-US"/>
        </w:rPr>
        <w:t xml:space="preserve"> </w:t>
      </w:r>
      <w:r w:rsidRPr="00A262E4">
        <w:rPr>
          <w:rFonts w:ascii="Perpetua" w:hAnsi="Perpetua" w:cs="Arial"/>
          <w:lang w:val="en-US"/>
        </w:rPr>
        <w:t>an observational, descriptive and cross-sectional study was carried out. Descriptive statistics were used to analyze the data and the chi square statistic was used to determine the possible association between qualitative variables.</w:t>
      </w:r>
    </w:p>
    <w:p w14:paraId="44AF4393" w14:textId="77777777" w:rsidR="00DD0B88" w:rsidRPr="00A262E4" w:rsidRDefault="00DD0B88" w:rsidP="00DD0B88">
      <w:pPr>
        <w:spacing w:line="360" w:lineRule="auto"/>
        <w:jc w:val="both"/>
        <w:rPr>
          <w:rFonts w:ascii="Perpetua" w:hAnsi="Perpetua" w:cs="Arial"/>
          <w:b/>
          <w:lang w:val="en-US"/>
        </w:rPr>
      </w:pPr>
      <w:r w:rsidRPr="00A262E4">
        <w:rPr>
          <w:rFonts w:ascii="Perpetua" w:hAnsi="Perpetua" w:cs="Arial"/>
          <w:lang w:val="en-US"/>
        </w:rPr>
        <w:t>Results:</w:t>
      </w:r>
      <w:r w:rsidRPr="00A262E4">
        <w:rPr>
          <w:rFonts w:ascii="Perpetua" w:hAnsi="Perpetua" w:cs="Arial"/>
          <w:b/>
          <w:lang w:val="en-US"/>
        </w:rPr>
        <w:t xml:space="preserve"> </w:t>
      </w:r>
      <w:r w:rsidRPr="00A262E4">
        <w:rPr>
          <w:rFonts w:ascii="Perpetua" w:hAnsi="Perpetua" w:cs="Arial"/>
          <w:lang w:val="en-US"/>
        </w:rPr>
        <w:t>the average age was 38.2 years (SD = 9.66). Of them, 53 (75.7%) patients were male and 17 (24.3%) were female. Patients taking antiretroviral medications (62.9%) predominated. The main clinical manifestations observed were: headache (72.9%), motor defect (</w:t>
      </w:r>
      <w:r w:rsidRPr="00A262E4">
        <w:rPr>
          <w:rFonts w:ascii="Perpetua" w:hAnsi="Perpetua" w:cs="Arial"/>
          <w:color w:val="333333"/>
          <w:lang w:val="en-US"/>
        </w:rPr>
        <w:t>54.3</w:t>
      </w:r>
      <w:r w:rsidRPr="00A262E4">
        <w:rPr>
          <w:color w:val="333333"/>
          <w:lang w:val="en-US"/>
        </w:rPr>
        <w:t> </w:t>
      </w:r>
      <w:r w:rsidRPr="00A262E4">
        <w:rPr>
          <w:rFonts w:ascii="Perpetua" w:hAnsi="Perpetua" w:cs="Arial"/>
          <w:color w:val="333333"/>
          <w:lang w:val="en-US"/>
        </w:rPr>
        <w:t>%)</w:t>
      </w:r>
      <w:r w:rsidRPr="00A262E4">
        <w:rPr>
          <w:rFonts w:ascii="Perpetua" w:hAnsi="Perpetua" w:cs="Arial"/>
          <w:lang w:val="en-US"/>
        </w:rPr>
        <w:t xml:space="preserve"> and awareness </w:t>
      </w:r>
      <w:r w:rsidRPr="00A262E4">
        <w:rPr>
          <w:rFonts w:ascii="Perpetua" w:hAnsi="Perpetua" w:cs="Arial"/>
          <w:color w:val="333333"/>
          <w:lang w:val="en-US"/>
        </w:rPr>
        <w:t>(50%)</w:t>
      </w:r>
      <w:r w:rsidRPr="00A262E4">
        <w:rPr>
          <w:rFonts w:ascii="Perpetua" w:hAnsi="Perpetua" w:cs="Arial"/>
          <w:lang w:val="en-US"/>
        </w:rPr>
        <w:t>. Statistically significant differences were reported between the proportions of the levels of the variables hospital discharge condition and CD 4 levels (X</w:t>
      </w:r>
      <w:r w:rsidRPr="00A262E4">
        <w:rPr>
          <w:rFonts w:ascii="Perpetua" w:hAnsi="Perpetua" w:cs="Arial"/>
          <w:vertAlign w:val="superscript"/>
          <w:lang w:val="en-US"/>
        </w:rPr>
        <w:t>2</w:t>
      </w:r>
      <w:r w:rsidRPr="00A262E4">
        <w:rPr>
          <w:rFonts w:ascii="Perpetua" w:hAnsi="Perpetua" w:cs="Arial"/>
          <w:lang w:val="en-US"/>
        </w:rPr>
        <w:t xml:space="preserve">(2) = 6.19, </w:t>
      </w:r>
      <w:r w:rsidRPr="00A262E4">
        <w:rPr>
          <w:rFonts w:ascii="Perpetua" w:hAnsi="Perpetua" w:cs="Arial"/>
          <w:i/>
          <w:lang w:val="en-US"/>
        </w:rPr>
        <w:t xml:space="preserve">p </w:t>
      </w:r>
      <w:r w:rsidRPr="00A262E4">
        <w:rPr>
          <w:rFonts w:ascii="Perpetua" w:hAnsi="Perpetua" w:cs="Arial"/>
          <w:lang w:val="en-US"/>
        </w:rPr>
        <w:t xml:space="preserve">&lt; 0.05). There were statistically significant differences between the proportions of the variables hospital discharge condition and lesions in computed tomography </w:t>
      </w:r>
      <w:r w:rsidRPr="00A262E4">
        <w:rPr>
          <w:rFonts w:ascii="Perpetua" w:hAnsi="Perpetua" w:cs="Arial"/>
          <w:color w:val="333333"/>
          <w:lang w:val="en-US"/>
        </w:rPr>
        <w:t>(X</w:t>
      </w:r>
      <w:r w:rsidRPr="00A262E4">
        <w:rPr>
          <w:rFonts w:ascii="Perpetua" w:hAnsi="Perpetua" w:cs="Arial"/>
          <w:color w:val="333333"/>
          <w:vertAlign w:val="superscript"/>
          <w:lang w:val="en-US"/>
        </w:rPr>
        <w:t>2</w:t>
      </w:r>
      <w:r w:rsidRPr="00A262E4">
        <w:rPr>
          <w:rFonts w:ascii="Perpetua" w:hAnsi="Perpetua" w:cs="Arial"/>
          <w:color w:val="333333"/>
          <w:lang w:val="en-US"/>
        </w:rPr>
        <w:t xml:space="preserve">(8) = 18.6, </w:t>
      </w:r>
      <w:r w:rsidRPr="00A262E4">
        <w:rPr>
          <w:rFonts w:ascii="Perpetua" w:hAnsi="Perpetua" w:cs="Arial"/>
          <w:i/>
          <w:color w:val="333333"/>
          <w:lang w:val="en-US"/>
        </w:rPr>
        <w:t>p</w:t>
      </w:r>
      <w:r w:rsidRPr="00A262E4">
        <w:rPr>
          <w:rFonts w:ascii="Perpetua" w:hAnsi="Perpetua" w:cs="Arial"/>
          <w:color w:val="333333"/>
          <w:lang w:val="en-US"/>
        </w:rPr>
        <w:t xml:space="preserve"> &lt; 0.05).</w:t>
      </w:r>
    </w:p>
    <w:p w14:paraId="12C040B6" w14:textId="77777777" w:rsidR="00DD0B88" w:rsidRPr="00A262E4" w:rsidRDefault="00DD0B88" w:rsidP="00DD0B88">
      <w:pPr>
        <w:spacing w:line="360" w:lineRule="auto"/>
        <w:jc w:val="both"/>
        <w:rPr>
          <w:rFonts w:ascii="Perpetua" w:hAnsi="Perpetua" w:cs="Arial"/>
          <w:lang w:val="en-US"/>
        </w:rPr>
      </w:pPr>
      <w:r w:rsidRPr="00A262E4">
        <w:rPr>
          <w:rFonts w:ascii="Perpetua" w:hAnsi="Perpetua" w:cs="Arial"/>
          <w:lang w:val="en-US"/>
        </w:rPr>
        <w:t>Conclusions:</w:t>
      </w:r>
      <w:r w:rsidRPr="00A262E4">
        <w:rPr>
          <w:rFonts w:ascii="Perpetua" w:hAnsi="Perpetua" w:cs="Arial"/>
          <w:b/>
          <w:lang w:val="en-US"/>
        </w:rPr>
        <w:t xml:space="preserve"> </w:t>
      </w:r>
      <w:proofErr w:type="spellStart"/>
      <w:r w:rsidRPr="00A262E4">
        <w:rPr>
          <w:rFonts w:ascii="Perpetua" w:hAnsi="Perpetua" w:cs="Arial"/>
          <w:lang w:val="en-US"/>
        </w:rPr>
        <w:t>toxoplasmic</w:t>
      </w:r>
      <w:proofErr w:type="spellEnd"/>
      <w:r w:rsidRPr="00A262E4">
        <w:rPr>
          <w:rFonts w:ascii="Perpetua" w:hAnsi="Perpetua" w:cs="Arial"/>
          <w:lang w:val="en-US"/>
        </w:rPr>
        <w:t xml:space="preserve"> encephalitis is more common in males and in patients over 38 years of age. The CD4 count and the number of lesions on the head CT scan influence at the prognosis.</w:t>
      </w:r>
    </w:p>
    <w:p w14:paraId="747F4594" w14:textId="77777777" w:rsidR="00DD0B88" w:rsidRPr="00A262E4" w:rsidRDefault="00DD0B88" w:rsidP="00DD0B88">
      <w:pPr>
        <w:spacing w:line="360" w:lineRule="auto"/>
        <w:jc w:val="both"/>
        <w:rPr>
          <w:rFonts w:ascii="Perpetua" w:hAnsi="Perpetua" w:cs="Arial"/>
          <w:lang w:val="en-US"/>
        </w:rPr>
      </w:pPr>
    </w:p>
    <w:p w14:paraId="519D3933" w14:textId="77777777" w:rsidR="00DD0B88" w:rsidRPr="00A262E4" w:rsidRDefault="00DD0B88" w:rsidP="00DD0B88">
      <w:pPr>
        <w:pStyle w:val="Default"/>
        <w:spacing w:line="360" w:lineRule="auto"/>
        <w:ind w:left="142" w:right="-285" w:hanging="284"/>
        <w:rPr>
          <w:rFonts w:ascii="Perpetua" w:hAnsi="Perpetua" w:cs="Arial"/>
          <w:b/>
          <w:lang w:val="en-US"/>
        </w:rPr>
      </w:pPr>
      <w:r w:rsidRPr="00A262E4">
        <w:rPr>
          <w:rFonts w:ascii="Perpetua" w:hAnsi="Perpetua" w:cs="Arial"/>
          <w:b/>
          <w:lang w:val="en-US"/>
        </w:rPr>
        <w:t xml:space="preserve">   </w:t>
      </w:r>
      <w:r w:rsidRPr="00A262E4">
        <w:rPr>
          <w:rFonts w:ascii="Perpetua" w:hAnsi="Perpetua" w:cs="Arial"/>
          <w:lang w:val="en-US"/>
        </w:rPr>
        <w:t>Keywords:</w:t>
      </w:r>
      <w:r w:rsidRPr="00A262E4">
        <w:rPr>
          <w:rFonts w:ascii="Perpetua" w:hAnsi="Perpetua" w:cs="Arial"/>
          <w:b/>
          <w:lang w:val="en-US"/>
        </w:rPr>
        <w:t xml:space="preserve"> </w:t>
      </w:r>
      <w:proofErr w:type="spellStart"/>
      <w:r w:rsidRPr="00A262E4">
        <w:rPr>
          <w:rFonts w:ascii="Perpetua" w:hAnsi="Perpetua" w:cs="Arial"/>
          <w:lang w:val="en-US"/>
        </w:rPr>
        <w:t>toxoplasmic</w:t>
      </w:r>
      <w:proofErr w:type="spellEnd"/>
      <w:r w:rsidRPr="00A262E4">
        <w:rPr>
          <w:rFonts w:ascii="Perpetua" w:hAnsi="Perpetua" w:cs="Arial"/>
          <w:lang w:val="en-US"/>
        </w:rPr>
        <w:t xml:space="preserve"> encephalitis, central nervous system infection</w:t>
      </w:r>
    </w:p>
    <w:p w14:paraId="17A82BE0" w14:textId="77777777" w:rsidR="00DD0B88" w:rsidRPr="00A262E4" w:rsidRDefault="00DD0B88" w:rsidP="00DD0B88">
      <w:pPr>
        <w:pStyle w:val="Default"/>
        <w:spacing w:line="360" w:lineRule="auto"/>
        <w:ind w:left="142" w:right="-285" w:hanging="284"/>
        <w:rPr>
          <w:rFonts w:ascii="Perpetua" w:hAnsi="Perpetua" w:cs="Arial"/>
          <w:b/>
          <w:lang w:val="en-US"/>
        </w:rPr>
      </w:pPr>
    </w:p>
    <w:p w14:paraId="29A7FBC1" w14:textId="77777777" w:rsidR="00A64F3F" w:rsidRPr="00A262E4" w:rsidRDefault="00A64F3F" w:rsidP="00A64F3F">
      <w:pPr>
        <w:rPr>
          <w:rStyle w:val="A2"/>
          <w:rFonts w:ascii="Perpetua" w:hAnsi="Perpetua" w:cs="Arial"/>
          <w:sz w:val="24"/>
          <w:szCs w:val="24"/>
        </w:rPr>
      </w:pPr>
      <w:r w:rsidRPr="00A262E4">
        <w:rPr>
          <w:rStyle w:val="A2"/>
          <w:rFonts w:ascii="Perpetua" w:hAnsi="Perpetua" w:cs="Arial"/>
          <w:sz w:val="24"/>
          <w:szCs w:val="24"/>
        </w:rPr>
        <w:t>INTRODUCCIÓN</w:t>
      </w:r>
    </w:p>
    <w:p w14:paraId="2C71EA9D" w14:textId="77777777" w:rsidR="00EF2338" w:rsidRPr="00A262E4" w:rsidRDefault="00EF2338">
      <w:pPr>
        <w:rPr>
          <w:rFonts w:ascii="Perpetua" w:hAnsi="Perpetua"/>
        </w:rPr>
      </w:pPr>
    </w:p>
    <w:p w14:paraId="29425829" w14:textId="77777777" w:rsidR="0039275B" w:rsidRPr="00A262E4" w:rsidRDefault="00F60237" w:rsidP="0039275B">
      <w:pPr>
        <w:spacing w:before="100" w:beforeAutospacing="1" w:after="100" w:afterAutospacing="1" w:line="360" w:lineRule="auto"/>
        <w:jc w:val="both"/>
        <w:rPr>
          <w:rFonts w:ascii="Perpetua" w:hAnsi="Perpetua" w:cs="Arial"/>
        </w:rPr>
      </w:pPr>
      <w:r w:rsidRPr="00A262E4">
        <w:rPr>
          <w:rFonts w:ascii="Perpetua" w:hAnsi="Perpetua" w:cs="Arial"/>
        </w:rPr>
        <w:lastRenderedPageBreak/>
        <w:t>El síndrome d</w:t>
      </w:r>
      <w:r w:rsidR="004A062A" w:rsidRPr="00A262E4">
        <w:rPr>
          <w:rFonts w:ascii="Perpetua" w:hAnsi="Perpetua" w:cs="Arial"/>
        </w:rPr>
        <w:t>e inmunodeficiencia adquirida (SIDA</w:t>
      </w:r>
      <w:r w:rsidRPr="00A262E4">
        <w:rPr>
          <w:rFonts w:ascii="Perpetua" w:hAnsi="Perpetua" w:cs="Arial"/>
        </w:rPr>
        <w:t>) es una enfermedad crónica transmisi</w:t>
      </w:r>
      <w:r w:rsidR="006B35C5" w:rsidRPr="00A262E4">
        <w:rPr>
          <w:rFonts w:ascii="Perpetua" w:hAnsi="Perpetua" w:cs="Arial"/>
        </w:rPr>
        <w:t>ble, progresiva,</w:t>
      </w:r>
      <w:r w:rsidRPr="00A262E4">
        <w:rPr>
          <w:rFonts w:ascii="Perpetua" w:hAnsi="Perpetua" w:cs="Arial"/>
        </w:rPr>
        <w:t xml:space="preserve"> causada por uno de dos retrovirus relacionados (VIH-1 y VIH-2), que origina una amplia g</w:t>
      </w:r>
      <w:r w:rsidR="006B35C5" w:rsidRPr="00A262E4">
        <w:rPr>
          <w:rFonts w:ascii="Perpetua" w:hAnsi="Perpetua" w:cs="Arial"/>
        </w:rPr>
        <w:t>ama de manifestaciones clínicas</w:t>
      </w:r>
      <w:r w:rsidRPr="00A262E4">
        <w:rPr>
          <w:rFonts w:ascii="Perpetua" w:hAnsi="Perpetua" w:cs="Arial"/>
        </w:rPr>
        <w:t xml:space="preserve"> relacionadas con defectos de la inmunidad mediada por células</w:t>
      </w:r>
      <w:r w:rsidR="006B35C5" w:rsidRPr="00A262E4">
        <w:rPr>
          <w:rFonts w:ascii="Perpetua" w:hAnsi="Perpetua" w:cs="Arial"/>
        </w:rPr>
        <w:t>.</w:t>
      </w:r>
      <w:r w:rsidRPr="00A262E4">
        <w:rPr>
          <w:rFonts w:ascii="Perpetua" w:hAnsi="Perpetua" w:cs="Arial"/>
        </w:rPr>
        <w:t xml:space="preserve"> </w:t>
      </w:r>
      <w:r w:rsidRPr="00A262E4">
        <w:rPr>
          <w:rFonts w:ascii="Perpetua" w:hAnsi="Perpetua" w:cs="Arial"/>
          <w:vertAlign w:val="superscript"/>
        </w:rPr>
        <w:t>(1)</w:t>
      </w:r>
      <w:r w:rsidRPr="00A262E4">
        <w:rPr>
          <w:rFonts w:ascii="Perpetua" w:hAnsi="Perpetua" w:cs="Arial"/>
        </w:rPr>
        <w:t xml:space="preserve"> </w:t>
      </w:r>
    </w:p>
    <w:p w14:paraId="713CEF8A" w14:textId="3B283071" w:rsidR="00F60237" w:rsidRPr="00A262E4" w:rsidRDefault="00F60237" w:rsidP="00F60237">
      <w:pPr>
        <w:spacing w:before="100" w:beforeAutospacing="1" w:after="100" w:afterAutospacing="1" w:line="360" w:lineRule="auto"/>
        <w:jc w:val="both"/>
        <w:rPr>
          <w:rFonts w:ascii="Perpetua" w:hAnsi="Perpetua" w:cs="Arial"/>
          <w:vertAlign w:val="superscript"/>
        </w:rPr>
      </w:pPr>
      <w:r w:rsidRPr="00A262E4">
        <w:rPr>
          <w:rFonts w:ascii="Perpetua" w:hAnsi="Perpetua" w:cs="Arial"/>
        </w:rPr>
        <w:t xml:space="preserve">Una </w:t>
      </w:r>
      <w:hyperlink r:id="rId11" w:tooltip="Persona" w:history="1">
        <w:r w:rsidRPr="00A262E4">
          <w:rPr>
            <w:rFonts w:ascii="Perpetua" w:hAnsi="Perpetua" w:cs="Arial"/>
          </w:rPr>
          <w:t>persona</w:t>
        </w:r>
      </w:hyperlink>
      <w:r w:rsidRPr="00A262E4">
        <w:rPr>
          <w:rFonts w:ascii="Perpetua" w:hAnsi="Perpetua" w:cs="Arial"/>
        </w:rPr>
        <w:t xml:space="preserve"> infectada por el VIH es </w:t>
      </w:r>
      <w:hyperlink r:id="rId12" w:tooltip="Seropositivo" w:history="1">
        <w:r w:rsidRPr="00A262E4">
          <w:rPr>
            <w:rFonts w:ascii="Perpetua" w:hAnsi="Perpetua" w:cs="Arial"/>
          </w:rPr>
          <w:t>seropositiva</w:t>
        </w:r>
      </w:hyperlink>
      <w:r w:rsidRPr="00A262E4">
        <w:rPr>
          <w:rFonts w:ascii="Perpetua" w:hAnsi="Perpetua" w:cs="Arial"/>
        </w:rPr>
        <w:t xml:space="preserve"> y pasa a desarrol</w:t>
      </w:r>
      <w:r w:rsidR="004A062A" w:rsidRPr="00A262E4">
        <w:rPr>
          <w:rFonts w:ascii="Perpetua" w:hAnsi="Perpetua" w:cs="Arial"/>
        </w:rPr>
        <w:t>lar un cuadro de S</w:t>
      </w:r>
      <w:r w:rsidRPr="00A262E4">
        <w:rPr>
          <w:rFonts w:ascii="Perpetua" w:hAnsi="Perpetua" w:cs="Arial"/>
        </w:rPr>
        <w:t>ida</w:t>
      </w:r>
      <w:r w:rsidR="004A062A" w:rsidRPr="00A262E4">
        <w:rPr>
          <w:rFonts w:ascii="Perpetua" w:hAnsi="Perpetua" w:cs="Arial"/>
        </w:rPr>
        <w:t>,</w:t>
      </w:r>
      <w:r w:rsidRPr="00A262E4">
        <w:rPr>
          <w:rFonts w:ascii="Perpetua" w:hAnsi="Perpetua" w:cs="Arial"/>
        </w:rPr>
        <w:t xml:space="preserve"> cuando su nivel de </w:t>
      </w:r>
      <w:hyperlink r:id="rId13" w:tooltip="Linfocito CD4+" w:history="1">
        <w:r w:rsidR="00C33103" w:rsidRPr="00A262E4">
          <w:rPr>
            <w:rFonts w:ascii="Perpetua" w:hAnsi="Perpetua" w:cs="Arial"/>
          </w:rPr>
          <w:t>linfocitos T</w:t>
        </w:r>
        <w:r w:rsidRPr="00A262E4">
          <w:rPr>
            <w:rFonts w:ascii="Perpetua" w:hAnsi="Perpetua" w:cs="Arial"/>
          </w:rPr>
          <w:t xml:space="preserve"> CD4</w:t>
        </w:r>
      </w:hyperlink>
      <w:r w:rsidRPr="00A262E4">
        <w:rPr>
          <w:rFonts w:ascii="Perpetua" w:hAnsi="Perpetua" w:cs="Arial"/>
        </w:rPr>
        <w:t xml:space="preserve"> (que son el tipo de </w:t>
      </w:r>
      <w:hyperlink r:id="rId14" w:tooltip="Célula" w:history="1">
        <w:r w:rsidRPr="00A262E4">
          <w:rPr>
            <w:rFonts w:ascii="Perpetua" w:hAnsi="Perpetua" w:cs="Arial"/>
          </w:rPr>
          <w:t>células</w:t>
        </w:r>
      </w:hyperlink>
      <w:r w:rsidRPr="00A262E4">
        <w:rPr>
          <w:rFonts w:ascii="Perpetua" w:hAnsi="Perpetua" w:cs="Arial"/>
        </w:rPr>
        <w:t xml:space="preserve"> a las que ataca el </w:t>
      </w:r>
      <w:hyperlink r:id="rId15" w:tooltip="Virus" w:history="1">
        <w:r w:rsidRPr="00A262E4">
          <w:rPr>
            <w:rFonts w:ascii="Perpetua" w:hAnsi="Perpetua" w:cs="Arial"/>
          </w:rPr>
          <w:t>virus</w:t>
        </w:r>
      </w:hyperlink>
      <w:r w:rsidRPr="00A262E4">
        <w:rPr>
          <w:rFonts w:ascii="Perpetua" w:hAnsi="Perpetua" w:cs="Arial"/>
        </w:rPr>
        <w:t xml:space="preserve">) desciende por debajo de 200 células por </w:t>
      </w:r>
      <w:hyperlink r:id="rId16" w:tooltip="Mililitro" w:history="1">
        <w:r w:rsidRPr="00A262E4">
          <w:rPr>
            <w:rFonts w:ascii="Perpetua" w:hAnsi="Perpetua" w:cs="Arial"/>
          </w:rPr>
          <w:t>mililitro</w:t>
        </w:r>
      </w:hyperlink>
      <w:r w:rsidRPr="00A262E4">
        <w:rPr>
          <w:rFonts w:ascii="Perpetua" w:hAnsi="Perpetua" w:cs="Arial"/>
        </w:rPr>
        <w:t xml:space="preserve"> de </w:t>
      </w:r>
      <w:hyperlink r:id="rId17" w:tooltip="Sangre" w:history="1">
        <w:r w:rsidRPr="00A262E4">
          <w:rPr>
            <w:rFonts w:ascii="Perpetua" w:hAnsi="Perpetua" w:cs="Arial"/>
          </w:rPr>
          <w:t>sangre</w:t>
        </w:r>
      </w:hyperlink>
      <w:r w:rsidRPr="00A262E4">
        <w:rPr>
          <w:rFonts w:ascii="Perpetua" w:hAnsi="Perpetua" w:cs="Arial"/>
        </w:rPr>
        <w:t>. Diversas enfermedades oportunistas pueden af</w:t>
      </w:r>
      <w:r w:rsidR="004A062A" w:rsidRPr="00A262E4">
        <w:rPr>
          <w:rFonts w:ascii="Perpetua" w:hAnsi="Perpetua" w:cs="Arial"/>
        </w:rPr>
        <w:t>ectar a los individuos con sida;</w:t>
      </w:r>
      <w:r w:rsidRPr="00A262E4">
        <w:rPr>
          <w:rFonts w:ascii="Perpetua" w:hAnsi="Perpetua" w:cs="Arial"/>
        </w:rPr>
        <w:t xml:space="preserve"> dentro de ellas las neurológicas ocupan un lugar preponderante.  Alrededor del 50% de los pacientes infectados por el VIH en algún momento de su evolución presentan complicaciones neurológicas, dentro de ellas te</w:t>
      </w:r>
      <w:r w:rsidR="007A4C2B" w:rsidRPr="00A262E4">
        <w:rPr>
          <w:rFonts w:ascii="Perpetua" w:hAnsi="Perpetua" w:cs="Arial"/>
        </w:rPr>
        <w:t xml:space="preserve">nemos la toxoplasmosis </w:t>
      </w:r>
      <w:r w:rsidR="001C4194" w:rsidRPr="00A262E4">
        <w:rPr>
          <w:rFonts w:ascii="Perpetua" w:hAnsi="Perpetua" w:cs="Arial"/>
        </w:rPr>
        <w:t>cerebral.</w:t>
      </w:r>
      <w:r w:rsidR="001C4194" w:rsidRPr="00A262E4">
        <w:rPr>
          <w:rFonts w:ascii="Perpetua" w:hAnsi="Perpetua" w:cs="Arial"/>
          <w:vertAlign w:val="superscript"/>
        </w:rPr>
        <w:t xml:space="preserve"> (</w:t>
      </w:r>
      <w:r w:rsidR="00FC5F25" w:rsidRPr="00A262E4">
        <w:rPr>
          <w:rFonts w:ascii="Perpetua" w:hAnsi="Perpetua" w:cs="Arial"/>
          <w:vertAlign w:val="superscript"/>
        </w:rPr>
        <w:t>2)</w:t>
      </w:r>
    </w:p>
    <w:p w14:paraId="49BE6862" w14:textId="5D7589BA" w:rsidR="00F60237" w:rsidRPr="00A262E4" w:rsidRDefault="00F60237" w:rsidP="00F60237">
      <w:pPr>
        <w:spacing w:before="100" w:beforeAutospacing="1" w:after="100" w:afterAutospacing="1" w:line="360" w:lineRule="auto"/>
        <w:jc w:val="both"/>
        <w:rPr>
          <w:rFonts w:ascii="Perpetua" w:hAnsi="Perpetua" w:cs="Arial"/>
        </w:rPr>
      </w:pPr>
      <w:r w:rsidRPr="00A262E4">
        <w:rPr>
          <w:rFonts w:ascii="Perpetua" w:hAnsi="Perpetua" w:cs="Arial"/>
        </w:rPr>
        <w:t>La toxoplasmosis cerebral es una de las infecciones oportunistas más</w:t>
      </w:r>
      <w:r w:rsidR="0039275B" w:rsidRPr="00A262E4">
        <w:rPr>
          <w:rFonts w:ascii="Perpetua" w:hAnsi="Perpetua" w:cs="Arial"/>
        </w:rPr>
        <w:t xml:space="preserve"> frecuentes en los pacientes VHI positivo</w:t>
      </w:r>
      <w:r w:rsidRPr="00A262E4">
        <w:rPr>
          <w:rFonts w:ascii="Perpetua" w:hAnsi="Perpetua" w:cs="Arial"/>
        </w:rPr>
        <w:t>. El cuadro clínico está dado por un efecto de masa que produce confusión, trastornos de la personalidad, letargia y signos de focalización neurológica, así como cefalea, fiebre y convulsiones.  Se localiza generalmente en los ganglios básales y puede presentar lesiones únicas o múltiples (casi siempre múl</w:t>
      </w:r>
      <w:r w:rsidR="003911A9" w:rsidRPr="00A262E4">
        <w:rPr>
          <w:rFonts w:ascii="Perpetua" w:hAnsi="Perpetua" w:cs="Arial"/>
        </w:rPr>
        <w:t>tiples).  En la tomografía computarizada (T</w:t>
      </w:r>
      <w:r w:rsidRPr="00A262E4">
        <w:rPr>
          <w:rFonts w:ascii="Perpetua" w:hAnsi="Perpetua" w:cs="Arial"/>
        </w:rPr>
        <w:t xml:space="preserve">C) pueden verse lesiones en anillos con zona de edema </w:t>
      </w:r>
      <w:proofErr w:type="spellStart"/>
      <w:r w:rsidRPr="00A262E4">
        <w:rPr>
          <w:rFonts w:ascii="Perpetua" w:hAnsi="Perpetua" w:cs="Arial"/>
        </w:rPr>
        <w:t>perilesional</w:t>
      </w:r>
      <w:proofErr w:type="spellEnd"/>
      <w:r w:rsidRPr="00A262E4">
        <w:rPr>
          <w:rFonts w:ascii="Perpetua" w:hAnsi="Perpetua" w:cs="Arial"/>
        </w:rPr>
        <w:t xml:space="preserve"> y efecto de </w:t>
      </w:r>
      <w:r w:rsidR="001C4194" w:rsidRPr="00A262E4">
        <w:rPr>
          <w:rFonts w:ascii="Perpetua" w:hAnsi="Perpetua" w:cs="Arial"/>
        </w:rPr>
        <w:t>masa.</w:t>
      </w:r>
      <w:r w:rsidR="001C4194" w:rsidRPr="00A262E4">
        <w:rPr>
          <w:rFonts w:ascii="Perpetua" w:hAnsi="Perpetua" w:cs="Arial"/>
          <w:vertAlign w:val="superscript"/>
        </w:rPr>
        <w:t xml:space="preserve"> (</w:t>
      </w:r>
      <w:r w:rsidR="00FC5F25" w:rsidRPr="00A262E4">
        <w:rPr>
          <w:rFonts w:ascii="Perpetua" w:hAnsi="Perpetua" w:cs="Arial"/>
          <w:vertAlign w:val="superscript"/>
        </w:rPr>
        <w:t>3)</w:t>
      </w:r>
      <w:r w:rsidRPr="00A262E4">
        <w:rPr>
          <w:rFonts w:ascii="Perpetua" w:hAnsi="Perpetua" w:cs="Arial"/>
        </w:rPr>
        <w:t xml:space="preserve"> </w:t>
      </w:r>
    </w:p>
    <w:p w14:paraId="28B75D22" w14:textId="77777777" w:rsidR="00F60237" w:rsidRPr="00A262E4" w:rsidRDefault="00F60237" w:rsidP="00F60237">
      <w:pPr>
        <w:spacing w:before="100" w:beforeAutospacing="1" w:after="100" w:afterAutospacing="1" w:line="360" w:lineRule="auto"/>
        <w:jc w:val="both"/>
        <w:rPr>
          <w:rFonts w:ascii="Perpetua" w:hAnsi="Perpetua" w:cs="Arial"/>
        </w:rPr>
      </w:pPr>
      <w:r w:rsidRPr="00A262E4">
        <w:rPr>
          <w:rFonts w:ascii="Perpetua" w:hAnsi="Perpetua" w:cs="Arial"/>
        </w:rPr>
        <w:t xml:space="preserve">El líquido cefalorraquídeo suele ser normal y la serología para toxoplasma generalmente es falso negativa por lo que para el diagnóstico de la enfermedad es de gran importancia las manifestaciones clínicas y la TAC.  Estos pacientes generalmente responden al tratamiento empírico con los medicamentos que se usan habitualmente contra este patógeno </w:t>
      </w:r>
      <w:r w:rsidRPr="00A262E4">
        <w:rPr>
          <w:rFonts w:ascii="Perpetua" w:hAnsi="Perpetua" w:cs="Arial"/>
          <w:vertAlign w:val="superscript"/>
        </w:rPr>
        <w:t>(3, 4)</w:t>
      </w:r>
      <w:r w:rsidRPr="00A262E4">
        <w:rPr>
          <w:rFonts w:ascii="Perpetua" w:hAnsi="Perpetua" w:cs="Arial"/>
        </w:rPr>
        <w:t xml:space="preserve">. </w:t>
      </w:r>
    </w:p>
    <w:p w14:paraId="1D7C998D" w14:textId="77777777" w:rsidR="00F60237" w:rsidRPr="00A262E4" w:rsidRDefault="00F60237" w:rsidP="00F60237">
      <w:pPr>
        <w:spacing w:before="100" w:beforeAutospacing="1" w:after="100" w:afterAutospacing="1" w:line="360" w:lineRule="auto"/>
        <w:jc w:val="both"/>
        <w:rPr>
          <w:rFonts w:ascii="Perpetua" w:hAnsi="Perpetua" w:cs="Arial"/>
        </w:rPr>
      </w:pPr>
      <w:r w:rsidRPr="00A262E4">
        <w:rPr>
          <w:rFonts w:ascii="Perpetua" w:hAnsi="Perpetua" w:cs="Arial"/>
          <w:lang w:val="es-ES_tradnl"/>
        </w:rPr>
        <w:t xml:space="preserve">La prevalencia de la infección por toxoplasma latente evidenciada por seropositividad varía según la región geográfica y la población estudiada.  Algunos autores señalan una incidencia del 10 al 50% de las complicaciones neurológicas del sida.  En EE.UU., aproximadamente el 30% de los infectados por el VIH tienen anticuerpos para el Toxoplasma </w:t>
      </w:r>
      <w:proofErr w:type="spellStart"/>
      <w:r w:rsidRPr="00A262E4">
        <w:rPr>
          <w:rFonts w:ascii="Perpetua" w:hAnsi="Perpetua" w:cs="Arial"/>
          <w:lang w:val="es-ES_tradnl"/>
        </w:rPr>
        <w:t>gondii</w:t>
      </w:r>
      <w:proofErr w:type="spellEnd"/>
      <w:r w:rsidRPr="00A262E4">
        <w:rPr>
          <w:rFonts w:ascii="Perpetua" w:hAnsi="Perpetua" w:cs="Arial"/>
          <w:lang w:val="es-ES_tradnl"/>
        </w:rPr>
        <w:t xml:space="preserve">, mientras que en áreas de Europa, África y América Latina, la </w:t>
      </w:r>
      <w:proofErr w:type="spellStart"/>
      <w:r w:rsidRPr="00A262E4">
        <w:rPr>
          <w:rFonts w:ascii="Perpetua" w:hAnsi="Perpetua" w:cs="Arial"/>
          <w:lang w:val="es-ES_tradnl"/>
        </w:rPr>
        <w:t>seroprevalencia</w:t>
      </w:r>
      <w:proofErr w:type="spellEnd"/>
      <w:r w:rsidRPr="00A262E4">
        <w:rPr>
          <w:rFonts w:ascii="Perpetua" w:hAnsi="Perpetua" w:cs="Arial"/>
          <w:lang w:val="es-ES_tradnl"/>
        </w:rPr>
        <w:t xml:space="preserve"> puede ser igual o mayor al 90% </w:t>
      </w:r>
      <w:r w:rsidR="006B6D50" w:rsidRPr="00A262E4">
        <w:rPr>
          <w:rFonts w:ascii="Perpetua" w:hAnsi="Perpetua" w:cs="Arial"/>
          <w:vertAlign w:val="superscript"/>
        </w:rPr>
        <w:t>(5,6</w:t>
      </w:r>
      <w:r w:rsidRPr="00A262E4">
        <w:rPr>
          <w:rFonts w:ascii="Perpetua" w:hAnsi="Perpetua" w:cs="Arial"/>
          <w:vertAlign w:val="superscript"/>
        </w:rPr>
        <w:t>)</w:t>
      </w:r>
      <w:r w:rsidRPr="00A262E4">
        <w:rPr>
          <w:rFonts w:ascii="Perpetua" w:hAnsi="Perpetua" w:cs="Arial"/>
          <w:lang w:val="es-ES_tradnl"/>
        </w:rPr>
        <w:t>.</w:t>
      </w:r>
    </w:p>
    <w:p w14:paraId="501B728A" w14:textId="77777777" w:rsidR="00F60237" w:rsidRPr="00A262E4" w:rsidRDefault="00F60237" w:rsidP="00F60237">
      <w:pPr>
        <w:spacing w:before="100" w:beforeAutospacing="1" w:after="100" w:afterAutospacing="1" w:line="360" w:lineRule="auto"/>
        <w:jc w:val="both"/>
        <w:rPr>
          <w:rFonts w:ascii="Perpetua" w:hAnsi="Perpetua" w:cs="Arial"/>
        </w:rPr>
      </w:pPr>
      <w:r w:rsidRPr="00A262E4">
        <w:rPr>
          <w:rFonts w:ascii="Perpetua" w:hAnsi="Perpetua" w:cs="Arial"/>
        </w:rPr>
        <w:t>Teniendo en consideración esta problemática realizamos esta investigación con el objetivo de describir el comportamiento clínico</w:t>
      </w:r>
      <w:r w:rsidR="006B6D50" w:rsidRPr="00A262E4">
        <w:rPr>
          <w:rFonts w:ascii="Perpetua" w:hAnsi="Perpetua" w:cs="Arial"/>
        </w:rPr>
        <w:t xml:space="preserve"> e </w:t>
      </w:r>
      <w:proofErr w:type="spellStart"/>
      <w:r w:rsidR="006B6D50" w:rsidRPr="00A262E4">
        <w:rPr>
          <w:rFonts w:ascii="Perpetua" w:hAnsi="Perpetua" w:cs="Arial"/>
        </w:rPr>
        <w:t>imagenol</w:t>
      </w:r>
      <w:r w:rsidR="00AD221C" w:rsidRPr="00A262E4">
        <w:rPr>
          <w:rFonts w:ascii="Perpetua" w:hAnsi="Perpetua" w:cs="Arial"/>
          <w:lang w:val="es-ES_tradnl"/>
        </w:rPr>
        <w:t>ó</w:t>
      </w:r>
      <w:r w:rsidR="00AD221C" w:rsidRPr="00A262E4">
        <w:rPr>
          <w:rFonts w:ascii="Perpetua" w:hAnsi="Perpetua" w:cs="Arial"/>
        </w:rPr>
        <w:t>gico</w:t>
      </w:r>
      <w:proofErr w:type="spellEnd"/>
      <w:r w:rsidR="00AD221C" w:rsidRPr="00A262E4">
        <w:rPr>
          <w:rFonts w:ascii="Perpetua" w:hAnsi="Perpetua" w:cs="Arial"/>
        </w:rPr>
        <w:t xml:space="preserve">  de la encefalitis </w:t>
      </w:r>
      <w:proofErr w:type="spellStart"/>
      <w:r w:rsidR="00AD221C" w:rsidRPr="00A262E4">
        <w:rPr>
          <w:rFonts w:ascii="Perpetua" w:hAnsi="Perpetua" w:cs="Arial"/>
        </w:rPr>
        <w:t>toxoplá</w:t>
      </w:r>
      <w:r w:rsidR="006B6D50" w:rsidRPr="00A262E4">
        <w:rPr>
          <w:rFonts w:ascii="Perpetua" w:hAnsi="Perpetua" w:cs="Arial"/>
        </w:rPr>
        <w:t>smica</w:t>
      </w:r>
      <w:proofErr w:type="spellEnd"/>
      <w:r w:rsidR="006B6D50" w:rsidRPr="00A262E4">
        <w:rPr>
          <w:rFonts w:ascii="Perpetua" w:hAnsi="Perpetua" w:cs="Arial"/>
        </w:rPr>
        <w:t xml:space="preserve"> </w:t>
      </w:r>
      <w:r w:rsidRPr="00A262E4">
        <w:rPr>
          <w:rFonts w:ascii="Perpetua" w:hAnsi="Perpetua" w:cs="Arial"/>
        </w:rPr>
        <w:t xml:space="preserve"> en pacientes con sida.</w:t>
      </w:r>
    </w:p>
    <w:p w14:paraId="4805FA70" w14:textId="77777777" w:rsidR="007C6CED" w:rsidRPr="00A262E4" w:rsidRDefault="007C6CED" w:rsidP="007C6CED">
      <w:pPr>
        <w:rPr>
          <w:rFonts w:ascii="Perpetua" w:hAnsi="Perpetua" w:cs="Arial"/>
          <w:b/>
        </w:rPr>
      </w:pPr>
      <w:r w:rsidRPr="00A262E4">
        <w:rPr>
          <w:rFonts w:ascii="Perpetua" w:hAnsi="Perpetua" w:cs="Arial"/>
          <w:b/>
        </w:rPr>
        <w:t>MÉTODOS</w:t>
      </w:r>
    </w:p>
    <w:p w14:paraId="28658084" w14:textId="77777777" w:rsidR="007C6CED" w:rsidRPr="00A262E4" w:rsidRDefault="007C6CED" w:rsidP="007C6CED">
      <w:pPr>
        <w:rPr>
          <w:rFonts w:ascii="Perpetua" w:hAnsi="Perpetua" w:cs="Arial"/>
          <w:b/>
        </w:rPr>
      </w:pPr>
    </w:p>
    <w:p w14:paraId="59001C05" w14:textId="77777777" w:rsidR="007C6CED" w:rsidRPr="00A262E4" w:rsidRDefault="007C6CED" w:rsidP="007C6CED">
      <w:pPr>
        <w:spacing w:line="360" w:lineRule="auto"/>
        <w:jc w:val="both"/>
        <w:rPr>
          <w:rFonts w:ascii="Perpetua" w:hAnsi="Perpetua" w:cs="Arial"/>
        </w:rPr>
      </w:pPr>
      <w:r w:rsidRPr="00A262E4">
        <w:rPr>
          <w:rFonts w:ascii="Perpetua" w:hAnsi="Perpetua" w:cs="Arial"/>
        </w:rPr>
        <w:lastRenderedPageBreak/>
        <w:t xml:space="preserve">Se realizó un estudio observacional, descriptivo y de corte transversal, en el Hospital Clínico Quirúrgico “Dr. Miguel Enríquez” desde </w:t>
      </w:r>
      <w:r w:rsidR="00325628" w:rsidRPr="00A262E4">
        <w:rPr>
          <w:rFonts w:ascii="Perpetua" w:hAnsi="Perpetua" w:cs="Arial"/>
          <w:lang w:val="es-CR"/>
        </w:rPr>
        <w:t xml:space="preserve">enero de 2021 a diciembre de 2023. </w:t>
      </w:r>
      <w:r w:rsidRPr="00A262E4">
        <w:rPr>
          <w:rFonts w:ascii="Perpetua" w:hAnsi="Perpetua" w:cs="Arial"/>
        </w:rPr>
        <w:t xml:space="preserve">El universo de estudio correspondió con todos los pacientes con </w:t>
      </w:r>
      <w:r w:rsidR="003E0842" w:rsidRPr="00A262E4">
        <w:rPr>
          <w:rFonts w:ascii="Perpetua" w:hAnsi="Perpetua" w:cs="Arial"/>
        </w:rPr>
        <w:t xml:space="preserve">VIH y encefalitis </w:t>
      </w:r>
      <w:r w:rsidRPr="00A262E4">
        <w:rPr>
          <w:rFonts w:ascii="Perpetua" w:hAnsi="Perpetua" w:cs="Arial"/>
        </w:rPr>
        <w:t xml:space="preserve">del hospital “Dr. Miguel Enríquez” durante el período de estudio y la muestra por aquellos pacientes que cumplieron con los criterios de inclusión. Se realizó un muestreo no </w:t>
      </w:r>
      <w:r w:rsidR="003E0842" w:rsidRPr="00A262E4">
        <w:rPr>
          <w:rFonts w:ascii="Perpetua" w:hAnsi="Perpetua" w:cs="Arial"/>
        </w:rPr>
        <w:t>probabilístico por conveniencia.</w:t>
      </w:r>
    </w:p>
    <w:p w14:paraId="743FE460" w14:textId="77777777" w:rsidR="003E0842" w:rsidRPr="00A262E4" w:rsidRDefault="003E0842" w:rsidP="007C6CED">
      <w:pPr>
        <w:spacing w:line="360" w:lineRule="auto"/>
        <w:jc w:val="both"/>
        <w:rPr>
          <w:rFonts w:ascii="Perpetua" w:hAnsi="Perpetua" w:cs="Arial"/>
        </w:rPr>
      </w:pPr>
    </w:p>
    <w:p w14:paraId="52291AAE" w14:textId="77777777" w:rsidR="007C6CED" w:rsidRPr="00A262E4" w:rsidRDefault="007C6CED" w:rsidP="0020522F">
      <w:pPr>
        <w:spacing w:before="100" w:beforeAutospacing="1" w:after="100" w:afterAutospacing="1" w:line="360" w:lineRule="auto"/>
        <w:jc w:val="both"/>
        <w:rPr>
          <w:rFonts w:ascii="Perpetua" w:hAnsi="Perpetua" w:cs="Arial"/>
        </w:rPr>
      </w:pPr>
      <w:r w:rsidRPr="00A262E4">
        <w:rPr>
          <w:rFonts w:ascii="Perpetua" w:hAnsi="Perpetua" w:cs="Arial"/>
        </w:rPr>
        <w:t>Criterio de inclusión: Se incluyeron pacientes con diagnóstico de</w:t>
      </w:r>
      <w:r w:rsidR="00F44EF0" w:rsidRPr="00A262E4">
        <w:rPr>
          <w:rFonts w:ascii="Perpetua" w:hAnsi="Perpetua" w:cs="Arial"/>
        </w:rPr>
        <w:t xml:space="preserve"> </w:t>
      </w:r>
      <w:proofErr w:type="spellStart"/>
      <w:r w:rsidR="00F44EF0" w:rsidRPr="00A262E4">
        <w:rPr>
          <w:rFonts w:ascii="Perpetua" w:hAnsi="Perpetua" w:cs="Arial"/>
        </w:rPr>
        <w:t>neurotoxoplasmosis</w:t>
      </w:r>
      <w:proofErr w:type="spellEnd"/>
      <w:r w:rsidR="00F44EF0" w:rsidRPr="00A262E4">
        <w:rPr>
          <w:rFonts w:ascii="Perpetua" w:hAnsi="Perpetua" w:cs="Arial"/>
        </w:rPr>
        <w:t>, lo cual se determinó por las manifestaciones clínicas y los hallazgos en la tomografía computarizada (TC)</w:t>
      </w:r>
      <w:r w:rsidR="00805361" w:rsidRPr="00A262E4">
        <w:rPr>
          <w:rFonts w:ascii="Perpetua" w:hAnsi="Perpetua" w:cs="Arial"/>
        </w:rPr>
        <w:t xml:space="preserve"> contrastada</w:t>
      </w:r>
      <w:r w:rsidR="00F44EF0" w:rsidRPr="00A262E4">
        <w:rPr>
          <w:rFonts w:ascii="Perpetua" w:hAnsi="Perpetua" w:cs="Arial"/>
        </w:rPr>
        <w:t xml:space="preserve">, así como estudios serológicos de sangre y líquido cefalorraquídeo positivos para diagnóstico de </w:t>
      </w:r>
      <w:proofErr w:type="spellStart"/>
      <w:r w:rsidR="00F44EF0" w:rsidRPr="00A262E4">
        <w:rPr>
          <w:rFonts w:ascii="Perpetua" w:hAnsi="Perpetua" w:cs="Arial"/>
        </w:rPr>
        <w:t>neurotoxoplasmosis</w:t>
      </w:r>
      <w:proofErr w:type="spellEnd"/>
      <w:r w:rsidR="00F44EF0" w:rsidRPr="00A262E4">
        <w:rPr>
          <w:rFonts w:ascii="Perpetua" w:hAnsi="Perpetua" w:cs="Arial"/>
        </w:rPr>
        <w:t>.</w:t>
      </w:r>
      <w:r w:rsidR="0020522F" w:rsidRPr="00A262E4">
        <w:rPr>
          <w:rFonts w:ascii="Perpetua" w:hAnsi="Perpetua" w:cs="Arial"/>
        </w:rPr>
        <w:t xml:space="preserve"> M</w:t>
      </w:r>
      <w:r w:rsidRPr="00A262E4">
        <w:rPr>
          <w:rFonts w:ascii="Perpetua" w:hAnsi="Perpetua" w:cs="Arial"/>
        </w:rPr>
        <w:t>ayores de 18 años</w:t>
      </w:r>
      <w:r w:rsidR="0020522F" w:rsidRPr="00A262E4">
        <w:rPr>
          <w:rFonts w:ascii="Perpetua" w:hAnsi="Perpetua" w:cs="Arial"/>
        </w:rPr>
        <w:t>.</w:t>
      </w:r>
    </w:p>
    <w:p w14:paraId="0DF15CF5" w14:textId="77777777" w:rsidR="00550206" w:rsidRPr="00A262E4" w:rsidRDefault="007C6CED" w:rsidP="007C6CED">
      <w:pPr>
        <w:spacing w:line="360" w:lineRule="auto"/>
        <w:jc w:val="both"/>
        <w:rPr>
          <w:rFonts w:ascii="Perpetua" w:hAnsi="Perpetua" w:cs="Arial"/>
        </w:rPr>
      </w:pPr>
      <w:r w:rsidRPr="00A262E4">
        <w:rPr>
          <w:rFonts w:ascii="Perpetua" w:hAnsi="Perpetua" w:cs="Arial"/>
        </w:rPr>
        <w:t>Se consideraron como variables</w:t>
      </w:r>
      <w:r w:rsidR="008C4ADF" w:rsidRPr="00A262E4">
        <w:rPr>
          <w:rFonts w:ascii="Perpetua" w:hAnsi="Perpetua" w:cs="Arial"/>
        </w:rPr>
        <w:t>:</w:t>
      </w:r>
      <w:r w:rsidRPr="00A262E4">
        <w:rPr>
          <w:rFonts w:ascii="Perpetua" w:hAnsi="Perpetua" w:cs="Arial"/>
        </w:rPr>
        <w:t xml:space="preserve"> edad, </w:t>
      </w:r>
      <w:r w:rsidR="00E074B4" w:rsidRPr="00A262E4">
        <w:rPr>
          <w:rFonts w:ascii="Perpetua" w:hAnsi="Perpetua" w:cs="Arial"/>
        </w:rPr>
        <w:t>sexo, terapia antirretroviral, tiempo de evolución de la enfermedad de base,</w:t>
      </w:r>
      <w:r w:rsidR="008C4ADF" w:rsidRPr="00A262E4">
        <w:rPr>
          <w:rFonts w:ascii="Perpetua" w:hAnsi="Perpetua" w:cs="Arial"/>
          <w:lang w:val="es-CR"/>
        </w:rPr>
        <w:t xml:space="preserve"> manifestaciones clínicas presentadas, </w:t>
      </w:r>
      <w:r w:rsidR="00B95C59" w:rsidRPr="00A262E4">
        <w:rPr>
          <w:rFonts w:ascii="Perpetua" w:hAnsi="Perpetua" w:cs="Arial"/>
          <w:lang w:val="es-CR"/>
        </w:rPr>
        <w:t xml:space="preserve">enfermedades asociadas, </w:t>
      </w:r>
      <w:r w:rsidR="00805361" w:rsidRPr="00A262E4">
        <w:rPr>
          <w:rFonts w:ascii="Perpetua" w:hAnsi="Perpetua" w:cs="Arial"/>
          <w:lang w:val="es-CR"/>
        </w:rPr>
        <w:t>lesiones en T</w:t>
      </w:r>
      <w:r w:rsidR="008C4ADF" w:rsidRPr="00A262E4">
        <w:rPr>
          <w:rFonts w:ascii="Perpetua" w:hAnsi="Perpetua" w:cs="Arial"/>
          <w:lang w:val="es-CR"/>
        </w:rPr>
        <w:t xml:space="preserve">C contrastada, </w:t>
      </w:r>
      <w:r w:rsidR="00FA1307" w:rsidRPr="00A262E4">
        <w:rPr>
          <w:rFonts w:ascii="Perpetua" w:hAnsi="Perpetua" w:cs="Arial"/>
          <w:lang w:val="es-CR"/>
        </w:rPr>
        <w:t>niveles de CD</w:t>
      </w:r>
      <w:r w:rsidR="00FA1307" w:rsidRPr="00A262E4">
        <w:rPr>
          <w:rFonts w:ascii="Perpetua" w:hAnsi="Perpetua" w:cs="Arial"/>
          <w:vertAlign w:val="subscript"/>
          <w:lang w:val="es-CR"/>
        </w:rPr>
        <w:t>4</w:t>
      </w:r>
      <w:r w:rsidR="008C4ADF" w:rsidRPr="00A262E4">
        <w:rPr>
          <w:rFonts w:ascii="Perpetua" w:hAnsi="Perpetua" w:cs="Arial"/>
          <w:lang w:val="es-CR"/>
        </w:rPr>
        <w:t>,</w:t>
      </w:r>
      <w:r w:rsidR="00FA1307" w:rsidRPr="00A262E4">
        <w:rPr>
          <w:rFonts w:ascii="Perpetua" w:hAnsi="Perpetua" w:cs="Arial"/>
          <w:lang w:val="es-CR"/>
        </w:rPr>
        <w:t>condición al egreso.</w:t>
      </w:r>
    </w:p>
    <w:p w14:paraId="7F87CB03" w14:textId="77777777" w:rsidR="00E074B4" w:rsidRPr="00A262E4" w:rsidRDefault="00E074B4" w:rsidP="007C6CED">
      <w:pPr>
        <w:spacing w:line="360" w:lineRule="auto"/>
        <w:jc w:val="both"/>
        <w:rPr>
          <w:rFonts w:ascii="Perpetua" w:hAnsi="Perpetua" w:cs="Arial"/>
        </w:rPr>
      </w:pPr>
    </w:p>
    <w:p w14:paraId="17843225" w14:textId="77777777" w:rsidR="00550206" w:rsidRPr="00A262E4" w:rsidRDefault="00550206" w:rsidP="00550206">
      <w:pPr>
        <w:spacing w:afterLines="200" w:after="480" w:line="360" w:lineRule="auto"/>
        <w:jc w:val="both"/>
        <w:rPr>
          <w:rFonts w:ascii="Perpetua" w:hAnsi="Perpetua" w:cs="Arial"/>
        </w:rPr>
      </w:pPr>
      <w:r w:rsidRPr="00A262E4">
        <w:rPr>
          <w:rFonts w:ascii="Perpetua" w:hAnsi="Perpetua" w:cs="Arial"/>
        </w:rPr>
        <w:t xml:space="preserve">Con la información recolectada se confeccionó una base de datos automatizada empleando la aplicación Excel Microsoft Office versión XP, la que posteriormente se exportó al programa estadístico </w:t>
      </w:r>
      <w:proofErr w:type="spellStart"/>
      <w:r w:rsidRPr="00A262E4">
        <w:rPr>
          <w:rFonts w:ascii="Perpetua" w:hAnsi="Perpetua" w:cs="Arial"/>
        </w:rPr>
        <w:t>Jamovi</w:t>
      </w:r>
      <w:proofErr w:type="spellEnd"/>
      <w:r w:rsidRPr="00A262E4">
        <w:rPr>
          <w:rFonts w:ascii="Perpetua" w:hAnsi="Perpetua" w:cs="Arial"/>
        </w:rPr>
        <w:t xml:space="preserve"> versión 2.4.14 para el procesamiento de los datos. Las variables cualitativas fueron resumidas en frecuencias absolutas y porcentajes. Las variables cuantitativas en media y desviación estándar. Para evaluar la asociación entre</w:t>
      </w:r>
      <w:r w:rsidR="00EF581B" w:rsidRPr="00A262E4">
        <w:rPr>
          <w:rFonts w:ascii="Perpetua" w:hAnsi="Perpetua" w:cs="Arial"/>
        </w:rPr>
        <w:t xml:space="preserve"> variables cualitativas </w:t>
      </w:r>
      <w:r w:rsidRPr="00A262E4">
        <w:rPr>
          <w:rFonts w:ascii="Perpetua" w:hAnsi="Perpetua" w:cs="Arial"/>
        </w:rPr>
        <w:t>se a</w:t>
      </w:r>
      <w:r w:rsidR="00E074B4" w:rsidRPr="00A262E4">
        <w:rPr>
          <w:rFonts w:ascii="Perpetua" w:hAnsi="Perpetua" w:cs="Arial"/>
        </w:rPr>
        <w:t>plicó el test estadístico de Ji</w:t>
      </w:r>
      <w:r w:rsidRPr="00A262E4">
        <w:rPr>
          <w:rFonts w:ascii="Perpetua" w:hAnsi="Perpetua" w:cs="Arial"/>
        </w:rPr>
        <w:t xml:space="preserve"> Cuadrado. Se trabajó con un nivel de significación del 5%. Se consideró que existe diferencia significativa, cuando la probabilidad del test fue menor de 0,05.</w:t>
      </w:r>
    </w:p>
    <w:p w14:paraId="45847940" w14:textId="77777777" w:rsidR="00550206" w:rsidRPr="00A262E4" w:rsidRDefault="00550206" w:rsidP="00550206">
      <w:pPr>
        <w:spacing w:line="360" w:lineRule="auto"/>
        <w:jc w:val="both"/>
        <w:rPr>
          <w:rFonts w:ascii="Perpetua" w:hAnsi="Perpetua" w:cs="Arial"/>
        </w:rPr>
      </w:pPr>
      <w:r w:rsidRPr="00A262E4">
        <w:rPr>
          <w:rFonts w:ascii="Perpetua" w:hAnsi="Perpetua" w:cs="Arial"/>
        </w:rPr>
        <w:t xml:space="preserve">Se mantuvo la confidencialidad de los datos personales de los pacientes incluidos en el estudio, con el debido respeto a su autonomía y privacidad. </w:t>
      </w:r>
    </w:p>
    <w:p w14:paraId="062C74DB" w14:textId="77777777" w:rsidR="00413D74" w:rsidRPr="00A262E4" w:rsidRDefault="00413D74" w:rsidP="00233E94">
      <w:pPr>
        <w:rPr>
          <w:rFonts w:ascii="Perpetua" w:hAnsi="Perpetua" w:cs="Arial"/>
          <w:b/>
        </w:rPr>
      </w:pPr>
    </w:p>
    <w:p w14:paraId="728B988C" w14:textId="77777777" w:rsidR="00233E94" w:rsidRPr="00A262E4" w:rsidRDefault="00233E94" w:rsidP="00233E94">
      <w:pPr>
        <w:rPr>
          <w:rFonts w:ascii="Perpetua" w:hAnsi="Perpetua" w:cs="Arial"/>
          <w:b/>
        </w:rPr>
      </w:pPr>
      <w:r w:rsidRPr="00A262E4">
        <w:rPr>
          <w:rFonts w:ascii="Perpetua" w:hAnsi="Perpetua" w:cs="Arial"/>
          <w:b/>
        </w:rPr>
        <w:t>RESULTADOS</w:t>
      </w:r>
    </w:p>
    <w:p w14:paraId="70682C64" w14:textId="77777777" w:rsidR="00413D74" w:rsidRPr="00A262E4" w:rsidRDefault="00413D74" w:rsidP="00233E94">
      <w:pPr>
        <w:rPr>
          <w:rFonts w:ascii="Perpetua" w:hAnsi="Perpetua" w:cs="Arial"/>
          <w:b/>
        </w:rPr>
      </w:pPr>
    </w:p>
    <w:p w14:paraId="677BEA24" w14:textId="77777777" w:rsidR="005B0D1F" w:rsidRPr="00A262E4" w:rsidRDefault="00F466A3" w:rsidP="00550206">
      <w:pPr>
        <w:spacing w:afterLines="200" w:after="480" w:line="360" w:lineRule="auto"/>
        <w:jc w:val="both"/>
        <w:rPr>
          <w:rFonts w:ascii="Perpetua" w:hAnsi="Perpetua" w:cs="Arial"/>
          <w:lang w:val="es-CR"/>
        </w:rPr>
      </w:pPr>
      <w:r w:rsidRPr="00A262E4">
        <w:rPr>
          <w:rFonts w:ascii="Perpetua" w:hAnsi="Perpetua" w:cs="Arial"/>
        </w:rPr>
        <w:t>Se evaluaron</w:t>
      </w:r>
      <w:r w:rsidR="00413D74" w:rsidRPr="00A262E4">
        <w:rPr>
          <w:rFonts w:ascii="Perpetua" w:hAnsi="Perpetua" w:cs="Arial"/>
          <w:lang w:val="es-CR"/>
        </w:rPr>
        <w:t xml:space="preserve"> </w:t>
      </w:r>
      <w:r w:rsidR="004B621F" w:rsidRPr="00A262E4">
        <w:rPr>
          <w:rFonts w:ascii="Perpetua" w:hAnsi="Perpetua" w:cs="Arial"/>
          <w:lang w:val="es-CR"/>
        </w:rPr>
        <w:t xml:space="preserve">un total de </w:t>
      </w:r>
      <w:r w:rsidR="005B0D1F" w:rsidRPr="00A262E4">
        <w:rPr>
          <w:rFonts w:ascii="Perpetua" w:hAnsi="Perpetua" w:cs="Arial"/>
          <w:lang w:val="es-CR"/>
        </w:rPr>
        <w:t xml:space="preserve">84 </w:t>
      </w:r>
      <w:r w:rsidR="00413D74" w:rsidRPr="00A262E4">
        <w:rPr>
          <w:rFonts w:ascii="Perpetua" w:hAnsi="Perpetua" w:cs="Arial"/>
          <w:lang w:val="es-CR"/>
        </w:rPr>
        <w:t xml:space="preserve">pacientes </w:t>
      </w:r>
      <w:r w:rsidR="00862C0D" w:rsidRPr="00A262E4">
        <w:rPr>
          <w:rFonts w:ascii="Perpetua" w:hAnsi="Perpetua" w:cs="Arial"/>
          <w:lang w:val="es-CR"/>
        </w:rPr>
        <w:t xml:space="preserve">con </w:t>
      </w:r>
      <w:r w:rsidR="005B0D1F" w:rsidRPr="00A262E4">
        <w:rPr>
          <w:rFonts w:ascii="Perpetua" w:hAnsi="Perpetua" w:cs="Arial"/>
          <w:lang w:val="es-CR"/>
        </w:rPr>
        <w:t>síntomas clínicos de encefaliti</w:t>
      </w:r>
      <w:r w:rsidR="00413D74" w:rsidRPr="00A262E4">
        <w:rPr>
          <w:rFonts w:ascii="Perpetua" w:hAnsi="Perpetua" w:cs="Arial"/>
          <w:lang w:val="es-CR"/>
        </w:rPr>
        <w:t>s asociada a VIH</w:t>
      </w:r>
      <w:r w:rsidR="00862C0D" w:rsidRPr="00A262E4">
        <w:rPr>
          <w:rFonts w:ascii="Perpetua" w:hAnsi="Perpetua" w:cs="Arial"/>
          <w:lang w:val="es-CR"/>
        </w:rPr>
        <w:t>, de los cuales</w:t>
      </w:r>
      <w:r w:rsidR="00150DEA" w:rsidRPr="00A262E4">
        <w:rPr>
          <w:rFonts w:ascii="Perpetua" w:hAnsi="Perpetua" w:cs="Arial"/>
          <w:lang w:val="es-CR"/>
        </w:rPr>
        <w:t xml:space="preserve"> 70</w:t>
      </w:r>
      <w:r w:rsidR="005B0D1F" w:rsidRPr="00A262E4">
        <w:rPr>
          <w:rFonts w:ascii="Perpetua" w:hAnsi="Perpetua" w:cs="Arial"/>
          <w:lang w:val="es-CR"/>
        </w:rPr>
        <w:t xml:space="preserve"> tuvieron diagnóstico positivo de </w:t>
      </w:r>
      <w:proofErr w:type="spellStart"/>
      <w:r w:rsidR="005B0D1F" w:rsidRPr="00A262E4">
        <w:rPr>
          <w:rFonts w:ascii="Perpetua" w:hAnsi="Perpetua" w:cs="Arial"/>
          <w:lang w:val="es-CR"/>
        </w:rPr>
        <w:t>neurotox</w:t>
      </w:r>
      <w:r w:rsidR="006343A4" w:rsidRPr="00A262E4">
        <w:rPr>
          <w:rFonts w:ascii="Perpetua" w:hAnsi="Perpetua" w:cs="Arial"/>
          <w:lang w:val="es-CR"/>
        </w:rPr>
        <w:t>oplasmosis</w:t>
      </w:r>
      <w:proofErr w:type="spellEnd"/>
      <w:r w:rsidR="00862C0D" w:rsidRPr="00A262E4">
        <w:rPr>
          <w:rFonts w:ascii="Perpetua" w:hAnsi="Perpetua" w:cs="Arial"/>
          <w:lang w:val="es-CR"/>
        </w:rPr>
        <w:t>.</w:t>
      </w:r>
      <w:r w:rsidR="004B621F" w:rsidRPr="00A262E4">
        <w:rPr>
          <w:rFonts w:ascii="Perpetua" w:hAnsi="Perpetua" w:cs="Arial"/>
          <w:lang w:val="es-CR"/>
        </w:rPr>
        <w:t xml:space="preserve"> El</w:t>
      </w:r>
      <w:r w:rsidR="00511AC4" w:rsidRPr="00A262E4">
        <w:rPr>
          <w:rFonts w:ascii="Perpetua" w:hAnsi="Perpetua" w:cs="Arial"/>
          <w:lang w:val="es-CR"/>
        </w:rPr>
        <w:t xml:space="preserve"> </w:t>
      </w:r>
      <w:r w:rsidR="004B621F" w:rsidRPr="00A262E4">
        <w:rPr>
          <w:rFonts w:ascii="Perpetua" w:hAnsi="Perpetua" w:cs="Arial"/>
          <w:lang w:val="es-CR"/>
        </w:rPr>
        <w:t>promedio de edad fue de</w:t>
      </w:r>
      <w:r w:rsidR="00511AC4" w:rsidRPr="00A262E4">
        <w:rPr>
          <w:rFonts w:ascii="Perpetua" w:hAnsi="Perpetua" w:cs="Arial"/>
          <w:lang w:val="es-CR"/>
        </w:rPr>
        <w:t xml:space="preserve"> 38,2 </w:t>
      </w:r>
      <w:r w:rsidR="004B621F" w:rsidRPr="00A262E4">
        <w:rPr>
          <w:rFonts w:ascii="Perpetua" w:hAnsi="Perpetua" w:cs="Arial"/>
          <w:lang w:val="es-CR"/>
        </w:rPr>
        <w:t xml:space="preserve">años </w:t>
      </w:r>
      <w:r w:rsidR="00245F52" w:rsidRPr="00A262E4">
        <w:rPr>
          <w:rFonts w:ascii="Perpetua" w:hAnsi="Perpetua" w:cs="Arial"/>
          <w:lang w:val="es-CR"/>
        </w:rPr>
        <w:t>(DE</w:t>
      </w:r>
      <w:r w:rsidR="00511AC4" w:rsidRPr="00A262E4">
        <w:rPr>
          <w:rFonts w:ascii="Perpetua" w:hAnsi="Perpetua" w:cs="Arial"/>
          <w:lang w:val="es-CR"/>
        </w:rPr>
        <w:t>=</w:t>
      </w:r>
      <w:r w:rsidR="00245F52" w:rsidRPr="00A262E4">
        <w:rPr>
          <w:rFonts w:ascii="Perpetua" w:hAnsi="Perpetua" w:cs="Arial"/>
          <w:lang w:val="es-CR"/>
        </w:rPr>
        <w:t xml:space="preserve"> 9,66)</w:t>
      </w:r>
      <w:r w:rsidR="00F337E2" w:rsidRPr="00A262E4">
        <w:rPr>
          <w:rFonts w:ascii="Perpetua" w:hAnsi="Perpetua" w:cs="Arial"/>
          <w:lang w:val="es-CR"/>
        </w:rPr>
        <w:t>. De ellos 53 (75,7%)</w:t>
      </w:r>
      <w:r w:rsidR="00E91DD4" w:rsidRPr="00A262E4">
        <w:rPr>
          <w:rFonts w:ascii="Perpetua" w:hAnsi="Perpetua" w:cs="Arial"/>
          <w:lang w:val="es-CR"/>
        </w:rPr>
        <w:t xml:space="preserve"> pacientes correspondieron</w:t>
      </w:r>
      <w:r w:rsidR="005B0D1F" w:rsidRPr="00A262E4">
        <w:rPr>
          <w:rFonts w:ascii="Perpetua" w:hAnsi="Perpetua" w:cs="Arial"/>
          <w:lang w:val="es-CR"/>
        </w:rPr>
        <w:t xml:space="preserve"> al sexo masculino</w:t>
      </w:r>
      <w:r w:rsidR="00F337E2" w:rsidRPr="00A262E4">
        <w:rPr>
          <w:rFonts w:ascii="Perpetua" w:hAnsi="Perpetua" w:cs="Arial"/>
          <w:lang w:val="es-CR"/>
        </w:rPr>
        <w:t xml:space="preserve"> y 17 (24,3%)</w:t>
      </w:r>
      <w:r w:rsidRPr="00A262E4">
        <w:rPr>
          <w:rFonts w:ascii="Perpetua" w:hAnsi="Perpetua" w:cs="Arial"/>
          <w:lang w:val="es-CR"/>
        </w:rPr>
        <w:t xml:space="preserve"> al</w:t>
      </w:r>
      <w:r w:rsidR="005B0D1F" w:rsidRPr="00A262E4">
        <w:rPr>
          <w:rFonts w:ascii="Perpetua" w:hAnsi="Perpetua" w:cs="Arial"/>
          <w:lang w:val="es-CR"/>
        </w:rPr>
        <w:t xml:space="preserve"> sexo femenino.</w:t>
      </w:r>
    </w:p>
    <w:p w14:paraId="17D263FD" w14:textId="77777777" w:rsidR="00F337E2" w:rsidRPr="00A262E4" w:rsidRDefault="00060A21" w:rsidP="00550206">
      <w:pPr>
        <w:spacing w:afterLines="200" w:after="480" w:line="360" w:lineRule="auto"/>
        <w:jc w:val="both"/>
        <w:rPr>
          <w:rFonts w:ascii="Perpetua" w:hAnsi="Perpetua" w:cs="Arial"/>
        </w:rPr>
      </w:pPr>
      <w:r w:rsidRPr="00A262E4">
        <w:rPr>
          <w:rFonts w:ascii="Perpetua" w:hAnsi="Perpetua" w:cs="Arial"/>
        </w:rPr>
        <w:lastRenderedPageBreak/>
        <w:t>En la Figura</w:t>
      </w:r>
      <w:r w:rsidR="003A0131" w:rsidRPr="00A262E4">
        <w:rPr>
          <w:rFonts w:ascii="Perpetua" w:hAnsi="Perpetua" w:cs="Arial"/>
        </w:rPr>
        <w:t xml:space="preserve"> 1 se observa la distribución de los pacientes que </w:t>
      </w:r>
      <w:r w:rsidR="00964EF2" w:rsidRPr="00A262E4">
        <w:rPr>
          <w:rFonts w:ascii="Perpetua" w:hAnsi="Perpetua" w:cs="Arial"/>
        </w:rPr>
        <w:t>tenían</w:t>
      </w:r>
      <w:r w:rsidR="003A0131" w:rsidRPr="00A262E4">
        <w:rPr>
          <w:rFonts w:ascii="Perpetua" w:hAnsi="Perpetua" w:cs="Arial"/>
        </w:rPr>
        <w:t xml:space="preserve"> tratamiento antirretroviral antes de la hospitalización.</w:t>
      </w:r>
      <w:r w:rsidR="00964EF2" w:rsidRPr="00A262E4">
        <w:rPr>
          <w:rFonts w:ascii="Perpetua" w:hAnsi="Perpetua" w:cs="Arial"/>
        </w:rPr>
        <w:t xml:space="preserve"> </w:t>
      </w:r>
      <w:r w:rsidR="00E232AF" w:rsidRPr="00A262E4">
        <w:rPr>
          <w:rFonts w:ascii="Perpetua" w:hAnsi="Perpetua" w:cs="Arial"/>
        </w:rPr>
        <w:t>Predominaron</w:t>
      </w:r>
      <w:r w:rsidR="00964EF2" w:rsidRPr="00A262E4">
        <w:rPr>
          <w:rFonts w:ascii="Perpetua" w:hAnsi="Perpetua" w:cs="Arial"/>
        </w:rPr>
        <w:t xml:space="preserve"> en esta muestra los pacientes que consumían medicamentos antirretrovirales (62,9%). </w:t>
      </w:r>
    </w:p>
    <w:p w14:paraId="7D528C84" w14:textId="77777777" w:rsidR="005921AF" w:rsidRPr="00A262E4" w:rsidRDefault="00D55FC2" w:rsidP="005921AF">
      <w:pPr>
        <w:spacing w:before="100" w:beforeAutospacing="1" w:after="100" w:afterAutospacing="1" w:line="360" w:lineRule="auto"/>
        <w:jc w:val="both"/>
        <w:rPr>
          <w:rFonts w:ascii="Perpetua" w:hAnsi="Perpetua" w:cs="Arial"/>
          <w:lang w:val="es-CR"/>
        </w:rPr>
      </w:pPr>
      <w:r w:rsidRPr="00A262E4">
        <w:rPr>
          <w:rFonts w:ascii="Perpetua" w:hAnsi="Perpetua" w:cs="Arial"/>
          <w:lang w:val="es-CR"/>
        </w:rPr>
        <w:t>Figura</w:t>
      </w:r>
      <w:r w:rsidR="005921AF" w:rsidRPr="00A262E4">
        <w:rPr>
          <w:rFonts w:ascii="Perpetua" w:hAnsi="Perpetua" w:cs="Arial"/>
          <w:lang w:val="es-CR"/>
        </w:rPr>
        <w:t xml:space="preserve"> 1. Distribución de pacientes según </w:t>
      </w:r>
      <w:r w:rsidR="006C18DE" w:rsidRPr="00A262E4">
        <w:rPr>
          <w:rFonts w:ascii="Perpetua" w:hAnsi="Perpetua" w:cs="Arial"/>
          <w:lang w:val="es-CR"/>
        </w:rPr>
        <w:t xml:space="preserve">consumo de </w:t>
      </w:r>
      <w:r w:rsidR="005921AF" w:rsidRPr="00A262E4">
        <w:rPr>
          <w:rFonts w:ascii="Perpetua" w:hAnsi="Perpetua" w:cs="Arial"/>
          <w:lang w:val="es-CR"/>
        </w:rPr>
        <w:t>terapia antirretroviral.</w:t>
      </w:r>
    </w:p>
    <w:p w14:paraId="62E59937" w14:textId="77777777" w:rsidR="0066126A" w:rsidRPr="00A262E4" w:rsidRDefault="00B276DB" w:rsidP="002A1DD3">
      <w:pPr>
        <w:spacing w:before="100" w:beforeAutospacing="1" w:after="100" w:afterAutospacing="1" w:line="360" w:lineRule="auto"/>
        <w:jc w:val="both"/>
        <w:rPr>
          <w:rFonts w:ascii="Perpetua" w:hAnsi="Perpetua" w:cs="Arial"/>
          <w:lang w:val="es-CR"/>
        </w:rPr>
      </w:pPr>
      <w:r w:rsidRPr="00A262E4">
        <w:rPr>
          <w:rFonts w:ascii="Perpetua" w:hAnsi="Perpetua" w:cs="Arial"/>
          <w:noProof/>
        </w:rPr>
        <w:drawing>
          <wp:inline distT="0" distB="0" distL="0" distR="0" wp14:anchorId="22E57778" wp14:editId="5825038B">
            <wp:extent cx="4317023" cy="3156439"/>
            <wp:effectExtent l="0" t="0" r="26670" b="2540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33B729" w14:textId="77777777" w:rsidR="005921AF" w:rsidRPr="00A262E4" w:rsidRDefault="005921AF" w:rsidP="002A1DD3">
      <w:pPr>
        <w:spacing w:before="100" w:beforeAutospacing="1" w:after="100" w:afterAutospacing="1" w:line="360" w:lineRule="auto"/>
        <w:jc w:val="both"/>
        <w:rPr>
          <w:rFonts w:ascii="Perpetua" w:hAnsi="Perpetua" w:cs="Arial"/>
          <w:lang w:val="es-CR"/>
        </w:rPr>
      </w:pPr>
      <w:r w:rsidRPr="00A262E4">
        <w:rPr>
          <w:rFonts w:ascii="Perpetua" w:hAnsi="Perpetua" w:cs="Arial"/>
          <w:lang w:val="es-CR"/>
        </w:rPr>
        <w:t>Fuente: Elaboración propia.</w:t>
      </w:r>
    </w:p>
    <w:p w14:paraId="6406741D" w14:textId="77777777" w:rsidR="009A70E6" w:rsidRPr="00A262E4" w:rsidRDefault="00E22781" w:rsidP="002A1DD3">
      <w:pPr>
        <w:spacing w:before="100" w:beforeAutospacing="1" w:after="100" w:afterAutospacing="1" w:line="360" w:lineRule="auto"/>
        <w:jc w:val="both"/>
        <w:rPr>
          <w:rFonts w:ascii="Perpetua" w:hAnsi="Perpetua" w:cs="Arial"/>
          <w:lang w:val="es-CR"/>
        </w:rPr>
      </w:pPr>
      <w:r w:rsidRPr="00A262E4">
        <w:rPr>
          <w:rFonts w:ascii="Perpetua" w:hAnsi="Perpetua" w:cs="Arial"/>
          <w:lang w:val="es-CR"/>
        </w:rPr>
        <w:t xml:space="preserve">En cuanto al tiempo de evolución de la enfermedad de base </w:t>
      </w:r>
      <w:r w:rsidR="00DF4E91" w:rsidRPr="00A262E4">
        <w:rPr>
          <w:rFonts w:ascii="Perpetua" w:hAnsi="Perpetua" w:cs="Arial"/>
          <w:lang w:val="es-CR"/>
        </w:rPr>
        <w:t>(</w:t>
      </w:r>
      <w:r w:rsidRPr="00A262E4">
        <w:rPr>
          <w:rFonts w:ascii="Perpetua" w:hAnsi="Perpetua" w:cs="Arial"/>
          <w:lang w:val="es-CR"/>
        </w:rPr>
        <w:t>VIH-SIDA</w:t>
      </w:r>
      <w:r w:rsidR="00DF4E91" w:rsidRPr="00A262E4">
        <w:rPr>
          <w:rFonts w:ascii="Perpetua" w:hAnsi="Perpetua" w:cs="Arial"/>
          <w:lang w:val="es-CR"/>
        </w:rPr>
        <w:t>)</w:t>
      </w:r>
      <w:r w:rsidRPr="00A262E4">
        <w:rPr>
          <w:rFonts w:ascii="Perpetua" w:hAnsi="Perpetua" w:cs="Arial"/>
          <w:lang w:val="es-CR"/>
        </w:rPr>
        <w:t xml:space="preserve"> predominaron los pacientes que tenían entre 5 y 10 años de evolución (45,7%)</w:t>
      </w:r>
      <w:r w:rsidR="00DF4E91" w:rsidRPr="00A262E4">
        <w:rPr>
          <w:rFonts w:ascii="Perpetua" w:hAnsi="Perpetua" w:cs="Arial"/>
          <w:lang w:val="es-CR"/>
        </w:rPr>
        <w:t>, seguido de los pacie</w:t>
      </w:r>
      <w:r w:rsidR="00080D7D" w:rsidRPr="00A262E4">
        <w:rPr>
          <w:rFonts w:ascii="Perpetua" w:hAnsi="Perpetua" w:cs="Arial"/>
          <w:lang w:val="es-CR"/>
        </w:rPr>
        <w:t>ntes con más de 10 años (31,4%)</w:t>
      </w:r>
      <w:r w:rsidR="00F442C1" w:rsidRPr="00A262E4">
        <w:rPr>
          <w:rFonts w:ascii="Perpetua" w:hAnsi="Perpetua" w:cs="Arial"/>
          <w:lang w:val="es-CR"/>
        </w:rPr>
        <w:t xml:space="preserve"> (Figura</w:t>
      </w:r>
      <w:r w:rsidR="004B53F5" w:rsidRPr="00A262E4">
        <w:rPr>
          <w:rFonts w:ascii="Perpetua" w:hAnsi="Perpetua" w:cs="Arial"/>
          <w:lang w:val="es-CR"/>
        </w:rPr>
        <w:t xml:space="preserve"> 2)</w:t>
      </w:r>
      <w:r w:rsidR="00080D7D" w:rsidRPr="00A262E4">
        <w:rPr>
          <w:rFonts w:ascii="Perpetua" w:hAnsi="Perpetua" w:cs="Arial"/>
          <w:lang w:val="es-CR"/>
        </w:rPr>
        <w:t>.</w:t>
      </w:r>
    </w:p>
    <w:p w14:paraId="66A15CAB" w14:textId="77777777" w:rsidR="00E7657B" w:rsidRPr="00A262E4" w:rsidRDefault="00F442C1" w:rsidP="00E7657B">
      <w:pPr>
        <w:spacing w:before="100" w:beforeAutospacing="1" w:after="100" w:afterAutospacing="1" w:line="360" w:lineRule="auto"/>
        <w:jc w:val="both"/>
        <w:rPr>
          <w:rFonts w:ascii="Perpetua" w:hAnsi="Perpetua" w:cs="Arial"/>
          <w:lang w:val="es-CR"/>
        </w:rPr>
      </w:pPr>
      <w:r w:rsidRPr="00A262E4">
        <w:rPr>
          <w:rFonts w:ascii="Perpetua" w:hAnsi="Perpetua" w:cs="Arial"/>
          <w:lang w:val="es-CR"/>
        </w:rPr>
        <w:t>Figura</w:t>
      </w:r>
      <w:r w:rsidR="00E7657B" w:rsidRPr="00A262E4">
        <w:rPr>
          <w:rFonts w:ascii="Perpetua" w:hAnsi="Perpetua" w:cs="Arial"/>
          <w:lang w:val="es-CR"/>
        </w:rPr>
        <w:t xml:space="preserve"> 2. Distribución de pacientes según años de evolución de la enfermedad de base.</w:t>
      </w:r>
    </w:p>
    <w:p w14:paraId="576CE7AF" w14:textId="77777777" w:rsidR="00F4477A" w:rsidRPr="00A262E4" w:rsidRDefault="00F4477A" w:rsidP="002A1DD3">
      <w:pPr>
        <w:spacing w:before="100" w:beforeAutospacing="1" w:after="100" w:afterAutospacing="1" w:line="360" w:lineRule="auto"/>
        <w:jc w:val="both"/>
        <w:rPr>
          <w:rFonts w:ascii="Perpetua" w:hAnsi="Perpetua" w:cs="Arial"/>
          <w:lang w:val="es-CR"/>
        </w:rPr>
      </w:pPr>
    </w:p>
    <w:p w14:paraId="0800FD11" w14:textId="77777777" w:rsidR="0066126A" w:rsidRPr="00A262E4" w:rsidRDefault="009A70E6" w:rsidP="002A1DD3">
      <w:pPr>
        <w:spacing w:before="100" w:beforeAutospacing="1" w:after="100" w:afterAutospacing="1" w:line="360" w:lineRule="auto"/>
        <w:jc w:val="both"/>
        <w:rPr>
          <w:rFonts w:ascii="Perpetua" w:hAnsi="Perpetua" w:cs="Arial"/>
          <w:lang w:val="es-CR"/>
        </w:rPr>
      </w:pPr>
      <w:r w:rsidRPr="00A262E4">
        <w:rPr>
          <w:rFonts w:ascii="Perpetua" w:hAnsi="Perpetua" w:cs="Arial"/>
          <w:noProof/>
        </w:rPr>
        <w:lastRenderedPageBreak/>
        <w:drawing>
          <wp:inline distT="0" distB="0" distL="0" distR="0" wp14:anchorId="1F05DA3E" wp14:editId="3E9241D5">
            <wp:extent cx="4914900" cy="3156438"/>
            <wp:effectExtent l="0" t="0" r="19050" b="2540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8F93C82" w14:textId="77777777" w:rsidR="00E7657B" w:rsidRPr="00A262E4" w:rsidRDefault="00E7657B" w:rsidP="00E7657B">
      <w:pPr>
        <w:spacing w:before="100" w:beforeAutospacing="1" w:after="100" w:afterAutospacing="1" w:line="360" w:lineRule="auto"/>
        <w:jc w:val="both"/>
        <w:rPr>
          <w:rFonts w:ascii="Perpetua" w:hAnsi="Perpetua" w:cs="Arial"/>
          <w:lang w:val="es-CR"/>
        </w:rPr>
      </w:pPr>
      <w:r w:rsidRPr="00A262E4">
        <w:rPr>
          <w:rFonts w:ascii="Perpetua" w:hAnsi="Perpetua" w:cs="Arial"/>
          <w:lang w:val="es-CR"/>
        </w:rPr>
        <w:t>Fuente: Elaboración propia.</w:t>
      </w:r>
    </w:p>
    <w:p w14:paraId="7C931E11" w14:textId="77777777" w:rsidR="00BE3835" w:rsidRPr="00A262E4" w:rsidRDefault="00A93ABC" w:rsidP="002A1DD3">
      <w:pPr>
        <w:spacing w:before="100" w:beforeAutospacing="1" w:after="100" w:afterAutospacing="1" w:line="360" w:lineRule="auto"/>
        <w:jc w:val="both"/>
        <w:rPr>
          <w:rFonts w:ascii="Perpetua" w:hAnsi="Perpetua" w:cs="Arial"/>
          <w:lang w:val="es-CR"/>
        </w:rPr>
      </w:pPr>
      <w:r w:rsidRPr="00A262E4">
        <w:rPr>
          <w:rFonts w:ascii="Perpetua" w:hAnsi="Perpetua" w:cs="Arial"/>
          <w:lang w:val="es-CR"/>
        </w:rPr>
        <w:t xml:space="preserve">Las principales manifestaciones clínicas observadas fueron </w:t>
      </w:r>
      <w:r w:rsidR="006F4DCD" w:rsidRPr="00A262E4">
        <w:rPr>
          <w:rFonts w:ascii="Perpetua" w:hAnsi="Perpetua" w:cs="Arial"/>
          <w:lang w:val="es-CR"/>
        </w:rPr>
        <w:t>la cefalea</w:t>
      </w:r>
      <w:r w:rsidR="001B4F45" w:rsidRPr="00A262E4">
        <w:rPr>
          <w:rFonts w:ascii="Perpetua" w:hAnsi="Perpetua" w:cs="Arial"/>
          <w:lang w:val="es-CR"/>
        </w:rPr>
        <w:t xml:space="preserve"> (72,9%),</w:t>
      </w:r>
      <w:r w:rsidR="006F4DCD" w:rsidRPr="00A262E4">
        <w:rPr>
          <w:rFonts w:ascii="Perpetua" w:hAnsi="Perpetua" w:cs="Arial"/>
          <w:lang w:val="es-CR"/>
        </w:rPr>
        <w:t xml:space="preserve"> </w:t>
      </w:r>
      <w:r w:rsidRPr="00A262E4">
        <w:rPr>
          <w:rFonts w:ascii="Perpetua" w:hAnsi="Perpetua" w:cs="Arial"/>
          <w:lang w:val="es-CR"/>
        </w:rPr>
        <w:t>el defecto motor (</w:t>
      </w:r>
      <w:r w:rsidRPr="00A262E4">
        <w:rPr>
          <w:rFonts w:ascii="Perpetua" w:hAnsi="Perpetua" w:cs="Arial"/>
          <w:color w:val="333333"/>
        </w:rPr>
        <w:t>54.3</w:t>
      </w:r>
      <w:r w:rsidRPr="00A262E4">
        <w:rPr>
          <w:color w:val="333333"/>
        </w:rPr>
        <w:t> </w:t>
      </w:r>
      <w:r w:rsidRPr="00A262E4">
        <w:rPr>
          <w:rFonts w:ascii="Perpetua" w:hAnsi="Perpetua" w:cs="Arial"/>
          <w:color w:val="333333"/>
        </w:rPr>
        <w:t>%)</w:t>
      </w:r>
      <w:r w:rsidR="001B4F45" w:rsidRPr="00A262E4">
        <w:rPr>
          <w:rFonts w:ascii="Perpetua" w:hAnsi="Perpetua" w:cs="Arial"/>
          <w:color w:val="333333"/>
        </w:rPr>
        <w:t xml:space="preserve"> y</w:t>
      </w:r>
      <w:r w:rsidRPr="00A262E4">
        <w:rPr>
          <w:rFonts w:ascii="Perpetua" w:hAnsi="Perpetua" w:cs="Arial"/>
          <w:color w:val="333333"/>
        </w:rPr>
        <w:t xml:space="preserve"> la toma de consciencia (50%)</w:t>
      </w:r>
      <w:r w:rsidR="001B4F45" w:rsidRPr="00A262E4">
        <w:rPr>
          <w:rFonts w:ascii="Perpetua" w:hAnsi="Perpetua" w:cs="Arial"/>
          <w:color w:val="333333"/>
        </w:rPr>
        <w:t xml:space="preserve">. La toma de pares craneales </w:t>
      </w:r>
      <w:r w:rsidR="00235BDB" w:rsidRPr="00A262E4">
        <w:rPr>
          <w:rFonts w:ascii="Perpetua" w:hAnsi="Perpetua" w:cs="Arial"/>
          <w:color w:val="333333"/>
        </w:rPr>
        <w:t xml:space="preserve">fue la menos frecuente (7,1%) como muestra la </w:t>
      </w:r>
      <w:r w:rsidR="00235BDB" w:rsidRPr="00A262E4">
        <w:rPr>
          <w:rFonts w:ascii="Perpetua" w:hAnsi="Perpetua" w:cs="Arial"/>
          <w:lang w:val="es-CR"/>
        </w:rPr>
        <w:t>f</w:t>
      </w:r>
      <w:r w:rsidR="00B22072" w:rsidRPr="00A262E4">
        <w:rPr>
          <w:rFonts w:ascii="Perpetua" w:hAnsi="Perpetua" w:cs="Arial"/>
          <w:lang w:val="es-CR"/>
        </w:rPr>
        <w:t>igura</w:t>
      </w:r>
      <w:r w:rsidR="001B4F45" w:rsidRPr="00A262E4">
        <w:rPr>
          <w:rFonts w:ascii="Perpetua" w:hAnsi="Perpetua" w:cs="Arial"/>
          <w:lang w:val="es-CR"/>
        </w:rPr>
        <w:t xml:space="preserve"> </w:t>
      </w:r>
      <w:r w:rsidR="00235BDB" w:rsidRPr="00A262E4">
        <w:rPr>
          <w:rFonts w:ascii="Perpetua" w:hAnsi="Perpetua" w:cs="Arial"/>
          <w:lang w:val="es-CR"/>
        </w:rPr>
        <w:t>3.</w:t>
      </w:r>
    </w:p>
    <w:p w14:paraId="32F56006" w14:textId="77777777" w:rsidR="00B3104D" w:rsidRPr="00A262E4" w:rsidRDefault="00323D91" w:rsidP="00B3104D">
      <w:pPr>
        <w:spacing w:before="100" w:beforeAutospacing="1" w:after="100" w:afterAutospacing="1" w:line="360" w:lineRule="auto"/>
        <w:jc w:val="both"/>
        <w:rPr>
          <w:rFonts w:ascii="Perpetua" w:hAnsi="Perpetua" w:cs="Arial"/>
          <w:lang w:val="es-CR"/>
        </w:rPr>
      </w:pPr>
      <w:r w:rsidRPr="00A262E4">
        <w:rPr>
          <w:rFonts w:ascii="Perpetua" w:hAnsi="Perpetua" w:cs="Arial"/>
          <w:lang w:val="es-CR"/>
        </w:rPr>
        <w:t>Figura</w:t>
      </w:r>
      <w:r w:rsidR="00B3104D" w:rsidRPr="00A262E4">
        <w:rPr>
          <w:rFonts w:ascii="Perpetua" w:hAnsi="Perpetua" w:cs="Arial"/>
          <w:lang w:val="es-CR"/>
        </w:rPr>
        <w:t xml:space="preserve"> 3. Principales manifestaciones clínicas al ingreso.</w:t>
      </w:r>
    </w:p>
    <w:p w14:paraId="0A7184C0" w14:textId="77777777" w:rsidR="00B3104D" w:rsidRPr="00A262E4" w:rsidRDefault="00B3104D" w:rsidP="002A1DD3">
      <w:pPr>
        <w:spacing w:before="100" w:beforeAutospacing="1" w:after="100" w:afterAutospacing="1" w:line="360" w:lineRule="auto"/>
        <w:jc w:val="both"/>
        <w:rPr>
          <w:rFonts w:ascii="Perpetua" w:hAnsi="Perpetua" w:cs="Arial"/>
          <w:lang w:val="es-CR"/>
        </w:rPr>
      </w:pPr>
    </w:p>
    <w:p w14:paraId="3FFE6090" w14:textId="77777777" w:rsidR="0066126A" w:rsidRPr="00A262E4" w:rsidRDefault="009A70E6" w:rsidP="002A1DD3">
      <w:pPr>
        <w:spacing w:before="100" w:beforeAutospacing="1" w:after="100" w:afterAutospacing="1" w:line="360" w:lineRule="auto"/>
        <w:jc w:val="both"/>
        <w:rPr>
          <w:rFonts w:ascii="Perpetua" w:hAnsi="Perpetua" w:cs="Arial"/>
          <w:lang w:val="es-CR"/>
        </w:rPr>
      </w:pPr>
      <w:r w:rsidRPr="00A262E4">
        <w:rPr>
          <w:rFonts w:ascii="Perpetua" w:hAnsi="Perpetua" w:cs="Arial"/>
          <w:noProof/>
        </w:rPr>
        <w:lastRenderedPageBreak/>
        <w:drawing>
          <wp:inline distT="0" distB="0" distL="0" distR="0" wp14:anchorId="0BF462E5" wp14:editId="3982AEDA">
            <wp:extent cx="5400040" cy="3150235"/>
            <wp:effectExtent l="0" t="0" r="10160" b="1206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CB519A" w14:textId="77777777" w:rsidR="00B3104D" w:rsidRPr="00A262E4" w:rsidRDefault="00B3104D" w:rsidP="00B3104D">
      <w:pPr>
        <w:spacing w:before="100" w:beforeAutospacing="1" w:after="100" w:afterAutospacing="1" w:line="360" w:lineRule="auto"/>
        <w:jc w:val="both"/>
        <w:rPr>
          <w:rFonts w:ascii="Perpetua" w:hAnsi="Perpetua" w:cs="Arial"/>
          <w:lang w:val="es-CR"/>
        </w:rPr>
      </w:pPr>
      <w:r w:rsidRPr="00A262E4">
        <w:rPr>
          <w:rFonts w:ascii="Perpetua" w:hAnsi="Perpetua" w:cs="Arial"/>
          <w:lang w:val="es-CR"/>
        </w:rPr>
        <w:t xml:space="preserve">Fuente: </w:t>
      </w:r>
      <w:r w:rsidR="006E7B3C" w:rsidRPr="00A262E4">
        <w:rPr>
          <w:rFonts w:ascii="Perpetua" w:hAnsi="Perpetua" w:cs="Arial"/>
          <w:lang w:val="es-CR"/>
        </w:rPr>
        <w:t>Expedientes clínicos</w:t>
      </w:r>
      <w:r w:rsidRPr="00A262E4">
        <w:rPr>
          <w:rFonts w:ascii="Perpetua" w:hAnsi="Perpetua" w:cs="Arial"/>
          <w:lang w:val="es-CR"/>
        </w:rPr>
        <w:t>.</w:t>
      </w:r>
    </w:p>
    <w:p w14:paraId="3F0639E4" w14:textId="77777777" w:rsidR="0066126A" w:rsidRPr="00A262E4" w:rsidRDefault="00AA78BC" w:rsidP="002A1DD3">
      <w:pPr>
        <w:spacing w:before="100" w:beforeAutospacing="1" w:after="100" w:afterAutospacing="1" w:line="360" w:lineRule="auto"/>
        <w:jc w:val="both"/>
        <w:rPr>
          <w:rFonts w:ascii="Perpetua" w:hAnsi="Perpetua" w:cs="Arial"/>
          <w:lang w:val="es-CR"/>
        </w:rPr>
      </w:pPr>
      <w:r w:rsidRPr="00A262E4">
        <w:rPr>
          <w:rFonts w:ascii="Perpetua" w:hAnsi="Perpetua" w:cs="Arial"/>
          <w:lang w:val="es-CR"/>
        </w:rPr>
        <w:t xml:space="preserve">En la Tabla 1 se </w:t>
      </w:r>
      <w:r w:rsidR="00FA3F2F" w:rsidRPr="00A262E4">
        <w:rPr>
          <w:rFonts w:ascii="Perpetua" w:hAnsi="Perpetua" w:cs="Arial"/>
          <w:lang w:val="es-CR"/>
        </w:rPr>
        <w:t xml:space="preserve">observan las principales enfermedades asociadas que presentaron los pacientes </w:t>
      </w:r>
      <w:r w:rsidR="00697524" w:rsidRPr="00A262E4">
        <w:rPr>
          <w:rFonts w:ascii="Perpetua" w:hAnsi="Perpetua" w:cs="Arial"/>
          <w:lang w:val="es-CR"/>
        </w:rPr>
        <w:t>durante la hospitalización.</w:t>
      </w:r>
      <w:r w:rsidR="004D375A" w:rsidRPr="00A262E4">
        <w:rPr>
          <w:rFonts w:ascii="Perpetua" w:hAnsi="Perpetua" w:cs="Arial"/>
          <w:lang w:val="es-CR"/>
        </w:rPr>
        <w:t xml:space="preserve"> Predominó</w:t>
      </w:r>
      <w:r w:rsidR="00697524" w:rsidRPr="00A262E4">
        <w:rPr>
          <w:rFonts w:ascii="Perpetua" w:hAnsi="Perpetua" w:cs="Arial"/>
          <w:lang w:val="es-CR"/>
        </w:rPr>
        <w:t xml:space="preserve"> la </w:t>
      </w:r>
      <w:r w:rsidR="004D375A" w:rsidRPr="00A262E4">
        <w:rPr>
          <w:rFonts w:ascii="Perpetua" w:hAnsi="Perpetua" w:cs="Arial"/>
          <w:lang w:val="es-CR"/>
        </w:rPr>
        <w:t>b</w:t>
      </w:r>
      <w:r w:rsidR="00697524" w:rsidRPr="00A262E4">
        <w:rPr>
          <w:rFonts w:ascii="Perpetua" w:hAnsi="Perpetua" w:cs="Arial"/>
          <w:lang w:val="es-CR"/>
        </w:rPr>
        <w:t>ronconeumonía</w:t>
      </w:r>
      <w:r w:rsidR="004D375A" w:rsidRPr="00A262E4">
        <w:rPr>
          <w:rFonts w:ascii="Perpetua" w:hAnsi="Perpetua" w:cs="Arial"/>
          <w:lang w:val="es-CR"/>
        </w:rPr>
        <w:t xml:space="preserve"> (30%)</w:t>
      </w:r>
      <w:r w:rsidR="00697524" w:rsidRPr="00A262E4">
        <w:rPr>
          <w:rFonts w:ascii="Perpetua" w:hAnsi="Perpetua" w:cs="Arial"/>
          <w:lang w:val="es-CR"/>
        </w:rPr>
        <w:t xml:space="preserve"> seguido del síndrome de desgaste</w:t>
      </w:r>
      <w:r w:rsidR="004D375A" w:rsidRPr="00A262E4">
        <w:rPr>
          <w:rFonts w:ascii="Perpetua" w:hAnsi="Perpetua" w:cs="Arial"/>
          <w:lang w:val="es-CR"/>
        </w:rPr>
        <w:t xml:space="preserve"> (18,6%)</w:t>
      </w:r>
      <w:r w:rsidR="00697524" w:rsidRPr="00A262E4">
        <w:rPr>
          <w:rFonts w:ascii="Perpetua" w:hAnsi="Perpetua" w:cs="Arial"/>
          <w:lang w:val="es-CR"/>
        </w:rPr>
        <w:t xml:space="preserve"> y la </w:t>
      </w:r>
      <w:proofErr w:type="spellStart"/>
      <w:r w:rsidR="00697524" w:rsidRPr="00A262E4">
        <w:rPr>
          <w:rFonts w:ascii="Perpetua" w:hAnsi="Perpetua" w:cs="Arial"/>
          <w:lang w:val="es-CR"/>
        </w:rPr>
        <w:t>candiasis</w:t>
      </w:r>
      <w:proofErr w:type="spellEnd"/>
      <w:r w:rsidR="00697524" w:rsidRPr="00A262E4">
        <w:rPr>
          <w:rFonts w:ascii="Perpetua" w:hAnsi="Perpetua" w:cs="Arial"/>
          <w:lang w:val="es-CR"/>
        </w:rPr>
        <w:t xml:space="preserve"> oral</w:t>
      </w:r>
      <w:r w:rsidR="008A6C47" w:rsidRPr="00A262E4">
        <w:rPr>
          <w:rFonts w:ascii="Perpetua" w:hAnsi="Perpetua" w:cs="Arial"/>
          <w:lang w:val="es-CR"/>
        </w:rPr>
        <w:t xml:space="preserve"> (18,6%).</w:t>
      </w:r>
    </w:p>
    <w:p w14:paraId="6CE7BB77" w14:textId="77777777" w:rsidR="002A1DD3" w:rsidRPr="00A262E4" w:rsidRDefault="002A1DD3" w:rsidP="002A1DD3">
      <w:pPr>
        <w:spacing w:before="100" w:beforeAutospacing="1" w:after="100" w:afterAutospacing="1" w:line="360" w:lineRule="auto"/>
        <w:jc w:val="both"/>
        <w:rPr>
          <w:rFonts w:ascii="Perpetua" w:hAnsi="Perpetua" w:cs="Arial"/>
          <w:lang w:val="es-CR"/>
        </w:rPr>
      </w:pPr>
      <w:r w:rsidRPr="00A262E4">
        <w:rPr>
          <w:rFonts w:ascii="Perpetua" w:hAnsi="Perpetua" w:cs="Arial"/>
          <w:lang w:val="es-CR"/>
        </w:rPr>
        <w:t>Tabl</w:t>
      </w:r>
      <w:r w:rsidR="00B276DB" w:rsidRPr="00A262E4">
        <w:rPr>
          <w:rFonts w:ascii="Perpetua" w:hAnsi="Perpetua" w:cs="Arial"/>
          <w:lang w:val="es-CR"/>
        </w:rPr>
        <w:t>a</w:t>
      </w:r>
      <w:r w:rsidR="009A70E6" w:rsidRPr="00A262E4">
        <w:rPr>
          <w:rFonts w:ascii="Perpetua" w:hAnsi="Perpetua" w:cs="Arial"/>
          <w:lang w:val="es-CR"/>
        </w:rPr>
        <w:t xml:space="preserve"> 1</w:t>
      </w:r>
      <w:r w:rsidRPr="00A262E4">
        <w:rPr>
          <w:rFonts w:ascii="Perpetua" w:hAnsi="Perpetua" w:cs="Arial"/>
          <w:b/>
          <w:bCs/>
          <w:lang w:val="es-CR"/>
        </w:rPr>
        <w:t xml:space="preserve">. </w:t>
      </w:r>
      <w:r w:rsidRPr="00A262E4">
        <w:rPr>
          <w:rFonts w:ascii="Perpetua" w:hAnsi="Perpetua" w:cs="Arial"/>
          <w:lang w:val="es-CR"/>
        </w:rPr>
        <w:t>Distribución de las prin</w:t>
      </w:r>
      <w:r w:rsidR="00036825" w:rsidRPr="00A262E4">
        <w:rPr>
          <w:rFonts w:ascii="Perpetua" w:hAnsi="Perpetua" w:cs="Arial"/>
          <w:lang w:val="es-CR"/>
        </w:rPr>
        <w:t>cipales enfermedades asociadas en</w:t>
      </w:r>
      <w:r w:rsidRPr="00A262E4">
        <w:rPr>
          <w:rFonts w:ascii="Perpetua" w:hAnsi="Perpetua" w:cs="Arial"/>
          <w:lang w:val="es-CR"/>
        </w:rPr>
        <w:t xml:space="preserve"> pacientes con </w:t>
      </w:r>
      <w:proofErr w:type="spellStart"/>
      <w:r w:rsidRPr="00A262E4">
        <w:rPr>
          <w:rFonts w:ascii="Perpetua" w:hAnsi="Perpetua" w:cs="Arial"/>
          <w:lang w:val="es-CR"/>
        </w:rPr>
        <w:t>neurotoxoplasmosis</w:t>
      </w:r>
      <w:proofErr w:type="spellEnd"/>
      <w:r w:rsidR="00B3104D" w:rsidRPr="00A262E4">
        <w:rPr>
          <w:rFonts w:ascii="Perpetua" w:hAnsi="Perpetua" w:cs="Arial"/>
          <w:lang w:val="es-CR"/>
        </w:rPr>
        <w:t>.</w:t>
      </w:r>
      <w:r w:rsidRPr="00A262E4">
        <w:rPr>
          <w:rFonts w:ascii="Perpetua" w:hAnsi="Perpetua" w:cs="Arial"/>
          <w:lang w:val="es-CR"/>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6"/>
        <w:gridCol w:w="212"/>
        <w:gridCol w:w="997"/>
        <w:gridCol w:w="474"/>
        <w:gridCol w:w="1153"/>
        <w:gridCol w:w="264"/>
        <w:gridCol w:w="1416"/>
        <w:gridCol w:w="296"/>
      </w:tblGrid>
      <w:tr w:rsidR="000A579B" w:rsidRPr="00A262E4" w14:paraId="200780AA" w14:textId="77777777" w:rsidTr="00150C89">
        <w:trPr>
          <w:cantSplit/>
          <w:tblHeader/>
          <w:tblCellSpacing w:w="15" w:type="dxa"/>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14:paraId="110FA3B1" w14:textId="77777777" w:rsidR="000A579B" w:rsidRPr="00A262E4" w:rsidRDefault="000A579B" w:rsidP="00150C89">
            <w:pPr>
              <w:rPr>
                <w:rFonts w:ascii="Perpetua" w:hAnsi="Perpetua" w:cs="Segoe UI"/>
                <w:b/>
                <w:bCs/>
                <w:color w:val="333333"/>
              </w:rPr>
            </w:pPr>
          </w:p>
        </w:tc>
      </w:tr>
      <w:tr w:rsidR="000A579B" w:rsidRPr="00A262E4" w14:paraId="1E02E967" w14:textId="77777777" w:rsidTr="00150C89">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ADFB88C" w14:textId="77777777" w:rsidR="000A579B" w:rsidRPr="00A262E4" w:rsidRDefault="000A579B" w:rsidP="00150C89">
            <w:pPr>
              <w:jc w:val="center"/>
              <w:rPr>
                <w:rFonts w:ascii="Perpetua" w:hAnsi="Perpetua" w:cs="Arial"/>
                <w:b/>
                <w:bCs/>
                <w:color w:val="333333"/>
              </w:rPr>
            </w:pPr>
            <w:r w:rsidRPr="00A262E4">
              <w:rPr>
                <w:rFonts w:ascii="Perpetua" w:hAnsi="Perpetua" w:cs="Arial"/>
                <w:b/>
                <w:bCs/>
                <w:color w:val="333333"/>
              </w:rPr>
              <w:t>Enfermedades asociadas</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3B7B4F1" w14:textId="77777777" w:rsidR="000A579B" w:rsidRPr="00A262E4" w:rsidRDefault="000A579B" w:rsidP="00150C89">
            <w:pPr>
              <w:jc w:val="center"/>
              <w:rPr>
                <w:rFonts w:ascii="Perpetua" w:hAnsi="Perpetua" w:cs="Arial"/>
                <w:b/>
                <w:bCs/>
                <w:color w:val="333333"/>
              </w:rPr>
            </w:pPr>
            <w:r w:rsidRPr="00A262E4">
              <w:rPr>
                <w:rFonts w:ascii="Perpetua" w:hAnsi="Perpetua" w:cs="Arial"/>
                <w:b/>
                <w:bCs/>
                <w:color w:val="333333"/>
              </w:rPr>
              <w:t>Frecuencias</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9A55279" w14:textId="77777777" w:rsidR="000A579B" w:rsidRPr="00A262E4" w:rsidRDefault="000A579B" w:rsidP="00150C89">
            <w:pPr>
              <w:jc w:val="center"/>
              <w:rPr>
                <w:rFonts w:ascii="Perpetua" w:hAnsi="Perpetua" w:cs="Arial"/>
                <w:b/>
                <w:bCs/>
                <w:color w:val="333333"/>
              </w:rPr>
            </w:pPr>
            <w:r w:rsidRPr="00A262E4">
              <w:rPr>
                <w:rFonts w:ascii="Perpetua" w:hAnsi="Perpetua" w:cs="Arial"/>
                <w:b/>
                <w:bCs/>
                <w:color w:val="333333"/>
              </w:rPr>
              <w:t>% del Total</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659CC63" w14:textId="77777777" w:rsidR="000A579B" w:rsidRPr="00A262E4" w:rsidRDefault="000A579B" w:rsidP="00150C89">
            <w:pPr>
              <w:jc w:val="center"/>
              <w:rPr>
                <w:rFonts w:ascii="Perpetua" w:hAnsi="Perpetua" w:cs="Arial"/>
                <w:b/>
                <w:bCs/>
                <w:color w:val="333333"/>
              </w:rPr>
            </w:pPr>
            <w:r w:rsidRPr="00A262E4">
              <w:rPr>
                <w:rFonts w:ascii="Perpetua" w:hAnsi="Perpetua" w:cs="Arial"/>
                <w:b/>
                <w:bCs/>
                <w:color w:val="333333"/>
              </w:rPr>
              <w:t>% Acumulado</w:t>
            </w:r>
          </w:p>
        </w:tc>
      </w:tr>
      <w:tr w:rsidR="000A579B" w:rsidRPr="00A262E4" w14:paraId="4CFCA80C" w14:textId="77777777" w:rsidTr="00150C89">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70C0DC6C" w14:textId="77777777" w:rsidR="000A579B" w:rsidRPr="00A262E4" w:rsidRDefault="00697524" w:rsidP="00150C89">
            <w:pPr>
              <w:rPr>
                <w:rFonts w:ascii="Perpetua" w:hAnsi="Perpetua" w:cs="Arial"/>
                <w:color w:val="333333"/>
              </w:rPr>
            </w:pPr>
            <w:r w:rsidRPr="00A262E4">
              <w:rPr>
                <w:rFonts w:ascii="Perpetua" w:hAnsi="Perpetua" w:cs="Arial"/>
                <w:color w:val="333333"/>
              </w:rPr>
              <w:t>Bronconeumonía</w:t>
            </w:r>
          </w:p>
        </w:tc>
        <w:tc>
          <w:tcPr>
            <w:tcW w:w="0" w:type="auto"/>
            <w:tcBorders>
              <w:top w:val="nil"/>
              <w:left w:val="nil"/>
              <w:bottom w:val="nil"/>
              <w:right w:val="nil"/>
            </w:tcBorders>
            <w:tcMar>
              <w:top w:w="120" w:type="dxa"/>
              <w:left w:w="30" w:type="dxa"/>
              <w:bottom w:w="30" w:type="dxa"/>
              <w:right w:w="120" w:type="dxa"/>
            </w:tcMar>
            <w:vAlign w:val="center"/>
            <w:hideMark/>
          </w:tcPr>
          <w:p w14:paraId="31D50A6E"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54FDE6B7"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21</w:t>
            </w:r>
          </w:p>
        </w:tc>
        <w:tc>
          <w:tcPr>
            <w:tcW w:w="0" w:type="auto"/>
            <w:tcBorders>
              <w:top w:val="nil"/>
              <w:left w:val="nil"/>
              <w:bottom w:val="nil"/>
              <w:right w:val="nil"/>
            </w:tcBorders>
            <w:tcMar>
              <w:top w:w="120" w:type="dxa"/>
              <w:left w:w="30" w:type="dxa"/>
              <w:bottom w:w="30" w:type="dxa"/>
              <w:right w:w="120" w:type="dxa"/>
            </w:tcMar>
            <w:vAlign w:val="center"/>
            <w:hideMark/>
          </w:tcPr>
          <w:p w14:paraId="2B88E2A2"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3D6B26C3"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30.0</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120" w:type="dxa"/>
              <w:left w:w="30" w:type="dxa"/>
              <w:bottom w:w="30" w:type="dxa"/>
              <w:right w:w="120" w:type="dxa"/>
            </w:tcMar>
            <w:vAlign w:val="center"/>
            <w:hideMark/>
          </w:tcPr>
          <w:p w14:paraId="52BACC5F"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633F47EE"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30.0</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120" w:type="dxa"/>
              <w:left w:w="30" w:type="dxa"/>
              <w:bottom w:w="30" w:type="dxa"/>
              <w:right w:w="120" w:type="dxa"/>
            </w:tcMar>
            <w:vAlign w:val="center"/>
            <w:hideMark/>
          </w:tcPr>
          <w:p w14:paraId="0DB75320" w14:textId="77777777" w:rsidR="000A579B" w:rsidRPr="00A262E4" w:rsidRDefault="000A579B" w:rsidP="00150C89">
            <w:pPr>
              <w:rPr>
                <w:rFonts w:ascii="Perpetua" w:hAnsi="Perpetua" w:cs="Segoe UI"/>
                <w:color w:val="333333"/>
              </w:rPr>
            </w:pPr>
          </w:p>
        </w:tc>
      </w:tr>
      <w:tr w:rsidR="000A579B" w:rsidRPr="00A262E4" w14:paraId="7DD8299E" w14:textId="77777777" w:rsidTr="00150C89">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13C7C1C2" w14:textId="77777777" w:rsidR="000A579B" w:rsidRPr="00A262E4" w:rsidRDefault="000A579B" w:rsidP="00150C89">
            <w:pPr>
              <w:rPr>
                <w:rFonts w:ascii="Perpetua" w:hAnsi="Perpetua" w:cs="Arial"/>
                <w:color w:val="333333"/>
              </w:rPr>
            </w:pPr>
            <w:proofErr w:type="spellStart"/>
            <w:r w:rsidRPr="00A262E4">
              <w:rPr>
                <w:rFonts w:ascii="Perpetua" w:hAnsi="Perpetua" w:cs="Arial"/>
                <w:color w:val="333333"/>
              </w:rPr>
              <w:t>Sìndrome</w:t>
            </w:r>
            <w:proofErr w:type="spellEnd"/>
            <w:r w:rsidRPr="00A262E4">
              <w:rPr>
                <w:rFonts w:ascii="Perpetua" w:hAnsi="Perpetua" w:cs="Arial"/>
                <w:color w:val="333333"/>
              </w:rPr>
              <w:t xml:space="preserve"> de desgaste</w:t>
            </w:r>
          </w:p>
        </w:tc>
        <w:tc>
          <w:tcPr>
            <w:tcW w:w="0" w:type="auto"/>
            <w:tcBorders>
              <w:top w:val="nil"/>
              <w:left w:val="nil"/>
              <w:bottom w:val="nil"/>
              <w:right w:val="nil"/>
            </w:tcBorders>
            <w:tcMar>
              <w:top w:w="30" w:type="dxa"/>
              <w:left w:w="30" w:type="dxa"/>
              <w:bottom w:w="30" w:type="dxa"/>
              <w:right w:w="120" w:type="dxa"/>
            </w:tcMar>
            <w:vAlign w:val="center"/>
            <w:hideMark/>
          </w:tcPr>
          <w:p w14:paraId="7160EA71"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2E0EEF62"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13</w:t>
            </w:r>
          </w:p>
        </w:tc>
        <w:tc>
          <w:tcPr>
            <w:tcW w:w="0" w:type="auto"/>
            <w:tcBorders>
              <w:top w:val="nil"/>
              <w:left w:val="nil"/>
              <w:bottom w:val="nil"/>
              <w:right w:val="nil"/>
            </w:tcBorders>
            <w:tcMar>
              <w:top w:w="30" w:type="dxa"/>
              <w:left w:w="30" w:type="dxa"/>
              <w:bottom w:w="30" w:type="dxa"/>
              <w:right w:w="120" w:type="dxa"/>
            </w:tcMar>
            <w:vAlign w:val="center"/>
            <w:hideMark/>
          </w:tcPr>
          <w:p w14:paraId="0E023FAC"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07515E63"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18.6</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579EB895"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7F1C03F1"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48.6</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70D03041" w14:textId="77777777" w:rsidR="000A579B" w:rsidRPr="00A262E4" w:rsidRDefault="000A579B" w:rsidP="00150C89">
            <w:pPr>
              <w:rPr>
                <w:rFonts w:ascii="Perpetua" w:hAnsi="Perpetua" w:cs="Segoe UI"/>
                <w:color w:val="333333"/>
              </w:rPr>
            </w:pPr>
          </w:p>
        </w:tc>
      </w:tr>
      <w:tr w:rsidR="000A579B" w:rsidRPr="00A262E4" w14:paraId="6B947B31" w14:textId="77777777" w:rsidTr="00150C89">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68C183EA" w14:textId="77777777" w:rsidR="000A579B" w:rsidRPr="00A262E4" w:rsidRDefault="000A579B" w:rsidP="00150C89">
            <w:pPr>
              <w:rPr>
                <w:rFonts w:ascii="Perpetua" w:hAnsi="Perpetua" w:cs="Arial"/>
                <w:color w:val="333333"/>
              </w:rPr>
            </w:pPr>
            <w:proofErr w:type="spellStart"/>
            <w:r w:rsidRPr="00A262E4">
              <w:rPr>
                <w:rFonts w:ascii="Perpetua" w:hAnsi="Perpetua" w:cs="Arial"/>
                <w:color w:val="333333"/>
              </w:rPr>
              <w:t>Lues</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62EE890A"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740C2716"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3</w:t>
            </w:r>
          </w:p>
        </w:tc>
        <w:tc>
          <w:tcPr>
            <w:tcW w:w="0" w:type="auto"/>
            <w:tcBorders>
              <w:top w:val="nil"/>
              <w:left w:val="nil"/>
              <w:bottom w:val="nil"/>
              <w:right w:val="nil"/>
            </w:tcBorders>
            <w:tcMar>
              <w:top w:w="30" w:type="dxa"/>
              <w:left w:w="30" w:type="dxa"/>
              <w:bottom w:w="30" w:type="dxa"/>
              <w:right w:w="120" w:type="dxa"/>
            </w:tcMar>
            <w:vAlign w:val="center"/>
            <w:hideMark/>
          </w:tcPr>
          <w:p w14:paraId="11446AC2"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08C06062"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4.3</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573E4327"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0AA307D0"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52.9</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2B6F6578" w14:textId="77777777" w:rsidR="000A579B" w:rsidRPr="00A262E4" w:rsidRDefault="000A579B" w:rsidP="00150C89">
            <w:pPr>
              <w:rPr>
                <w:rFonts w:ascii="Perpetua" w:hAnsi="Perpetua" w:cs="Segoe UI"/>
                <w:color w:val="333333"/>
              </w:rPr>
            </w:pPr>
          </w:p>
        </w:tc>
      </w:tr>
      <w:tr w:rsidR="000A579B" w:rsidRPr="00A262E4" w14:paraId="33B11191" w14:textId="77777777" w:rsidTr="00150C89">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3A46F565" w14:textId="77777777" w:rsidR="000A579B" w:rsidRPr="00A262E4" w:rsidRDefault="000A579B" w:rsidP="00150C89">
            <w:pPr>
              <w:rPr>
                <w:rFonts w:ascii="Perpetua" w:hAnsi="Perpetua" w:cs="Arial"/>
                <w:color w:val="333333"/>
              </w:rPr>
            </w:pPr>
            <w:r w:rsidRPr="00A262E4">
              <w:rPr>
                <w:rFonts w:ascii="Perpetua" w:hAnsi="Perpetua" w:cs="Arial"/>
                <w:color w:val="333333"/>
              </w:rPr>
              <w:t>Hepatitis C</w:t>
            </w:r>
          </w:p>
        </w:tc>
        <w:tc>
          <w:tcPr>
            <w:tcW w:w="0" w:type="auto"/>
            <w:tcBorders>
              <w:top w:val="nil"/>
              <w:left w:val="nil"/>
              <w:bottom w:val="nil"/>
              <w:right w:val="nil"/>
            </w:tcBorders>
            <w:tcMar>
              <w:top w:w="30" w:type="dxa"/>
              <w:left w:w="30" w:type="dxa"/>
              <w:bottom w:w="30" w:type="dxa"/>
              <w:right w:w="120" w:type="dxa"/>
            </w:tcMar>
            <w:vAlign w:val="center"/>
            <w:hideMark/>
          </w:tcPr>
          <w:p w14:paraId="4F41016D"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0BE0955B"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3</w:t>
            </w:r>
          </w:p>
        </w:tc>
        <w:tc>
          <w:tcPr>
            <w:tcW w:w="0" w:type="auto"/>
            <w:tcBorders>
              <w:top w:val="nil"/>
              <w:left w:val="nil"/>
              <w:bottom w:val="nil"/>
              <w:right w:val="nil"/>
            </w:tcBorders>
            <w:tcMar>
              <w:top w:w="30" w:type="dxa"/>
              <w:left w:w="30" w:type="dxa"/>
              <w:bottom w:w="30" w:type="dxa"/>
              <w:right w:w="120" w:type="dxa"/>
            </w:tcMar>
            <w:vAlign w:val="center"/>
            <w:hideMark/>
          </w:tcPr>
          <w:p w14:paraId="41CE86F8"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2B1CB9CD"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4.3</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0810C1EC"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05EC230D"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57.1</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4F09528F" w14:textId="77777777" w:rsidR="000A579B" w:rsidRPr="00A262E4" w:rsidRDefault="000A579B" w:rsidP="00150C89">
            <w:pPr>
              <w:rPr>
                <w:rFonts w:ascii="Perpetua" w:hAnsi="Perpetua" w:cs="Segoe UI"/>
                <w:color w:val="333333"/>
              </w:rPr>
            </w:pPr>
          </w:p>
        </w:tc>
      </w:tr>
      <w:tr w:rsidR="000A579B" w:rsidRPr="00A262E4" w14:paraId="37BE8EE2" w14:textId="77777777" w:rsidTr="00150C89">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2AFBA472" w14:textId="77777777" w:rsidR="000A579B" w:rsidRPr="00A262E4" w:rsidRDefault="000A579B" w:rsidP="00150C89">
            <w:pPr>
              <w:rPr>
                <w:rFonts w:ascii="Perpetua" w:hAnsi="Perpetua" w:cs="Arial"/>
                <w:color w:val="333333"/>
              </w:rPr>
            </w:pPr>
            <w:r w:rsidRPr="00A262E4">
              <w:rPr>
                <w:rFonts w:ascii="Perpetua" w:hAnsi="Perpetua" w:cs="Arial"/>
                <w:color w:val="333333"/>
              </w:rPr>
              <w:t>Gastritis</w:t>
            </w:r>
          </w:p>
        </w:tc>
        <w:tc>
          <w:tcPr>
            <w:tcW w:w="0" w:type="auto"/>
            <w:tcBorders>
              <w:top w:val="nil"/>
              <w:left w:val="nil"/>
              <w:bottom w:val="nil"/>
              <w:right w:val="nil"/>
            </w:tcBorders>
            <w:tcMar>
              <w:top w:w="30" w:type="dxa"/>
              <w:left w:w="30" w:type="dxa"/>
              <w:bottom w:w="30" w:type="dxa"/>
              <w:right w:w="120" w:type="dxa"/>
            </w:tcMar>
            <w:vAlign w:val="center"/>
            <w:hideMark/>
          </w:tcPr>
          <w:p w14:paraId="12E068CE"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462173F0"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10</w:t>
            </w:r>
          </w:p>
        </w:tc>
        <w:tc>
          <w:tcPr>
            <w:tcW w:w="0" w:type="auto"/>
            <w:tcBorders>
              <w:top w:val="nil"/>
              <w:left w:val="nil"/>
              <w:bottom w:val="nil"/>
              <w:right w:val="nil"/>
            </w:tcBorders>
            <w:tcMar>
              <w:top w:w="30" w:type="dxa"/>
              <w:left w:w="30" w:type="dxa"/>
              <w:bottom w:w="30" w:type="dxa"/>
              <w:right w:w="120" w:type="dxa"/>
            </w:tcMar>
            <w:vAlign w:val="center"/>
            <w:hideMark/>
          </w:tcPr>
          <w:p w14:paraId="0C699482"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4972FC4B"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14.3</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5B45A482"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19C4F236"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71.4</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338CB312" w14:textId="77777777" w:rsidR="000A579B" w:rsidRPr="00A262E4" w:rsidRDefault="000A579B" w:rsidP="00150C89">
            <w:pPr>
              <w:rPr>
                <w:rFonts w:ascii="Perpetua" w:hAnsi="Perpetua" w:cs="Segoe UI"/>
                <w:color w:val="333333"/>
              </w:rPr>
            </w:pPr>
          </w:p>
        </w:tc>
      </w:tr>
      <w:tr w:rsidR="000A579B" w:rsidRPr="00A262E4" w14:paraId="23B356AA" w14:textId="77777777" w:rsidTr="00150C89">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247C49AC" w14:textId="77777777" w:rsidR="000A579B" w:rsidRPr="00A262E4" w:rsidRDefault="000A579B" w:rsidP="00150C89">
            <w:pPr>
              <w:rPr>
                <w:rFonts w:ascii="Perpetua" w:hAnsi="Perpetua" w:cs="Arial"/>
                <w:color w:val="333333"/>
              </w:rPr>
            </w:pPr>
            <w:r w:rsidRPr="00A262E4">
              <w:rPr>
                <w:rFonts w:ascii="Perpetua" w:hAnsi="Perpetua" w:cs="Arial"/>
                <w:color w:val="333333"/>
              </w:rPr>
              <w:t>Enterocolitis</w:t>
            </w:r>
          </w:p>
        </w:tc>
        <w:tc>
          <w:tcPr>
            <w:tcW w:w="0" w:type="auto"/>
            <w:tcBorders>
              <w:top w:val="nil"/>
              <w:left w:val="nil"/>
              <w:bottom w:val="nil"/>
              <w:right w:val="nil"/>
            </w:tcBorders>
            <w:tcMar>
              <w:top w:w="30" w:type="dxa"/>
              <w:left w:w="30" w:type="dxa"/>
              <w:bottom w:w="30" w:type="dxa"/>
              <w:right w:w="120" w:type="dxa"/>
            </w:tcMar>
            <w:vAlign w:val="center"/>
            <w:hideMark/>
          </w:tcPr>
          <w:p w14:paraId="4F230F98"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0F1A1855"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5</w:t>
            </w:r>
          </w:p>
        </w:tc>
        <w:tc>
          <w:tcPr>
            <w:tcW w:w="0" w:type="auto"/>
            <w:tcBorders>
              <w:top w:val="nil"/>
              <w:left w:val="nil"/>
              <w:bottom w:val="nil"/>
              <w:right w:val="nil"/>
            </w:tcBorders>
            <w:tcMar>
              <w:top w:w="30" w:type="dxa"/>
              <w:left w:w="30" w:type="dxa"/>
              <w:bottom w:w="30" w:type="dxa"/>
              <w:right w:w="120" w:type="dxa"/>
            </w:tcMar>
            <w:vAlign w:val="center"/>
            <w:hideMark/>
          </w:tcPr>
          <w:p w14:paraId="77242DBF"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41FBF36B"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7.1</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79B63399"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5DE66BB7"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78.6</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6BBF447D" w14:textId="77777777" w:rsidR="000A579B" w:rsidRPr="00A262E4" w:rsidRDefault="000A579B" w:rsidP="00150C89">
            <w:pPr>
              <w:rPr>
                <w:rFonts w:ascii="Perpetua" w:hAnsi="Perpetua" w:cs="Segoe UI"/>
                <w:color w:val="333333"/>
              </w:rPr>
            </w:pPr>
          </w:p>
        </w:tc>
      </w:tr>
      <w:tr w:rsidR="000A579B" w:rsidRPr="00A262E4" w14:paraId="2950F4B3" w14:textId="77777777" w:rsidTr="00150C89">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321076EC" w14:textId="77777777" w:rsidR="000A579B" w:rsidRPr="00A262E4" w:rsidRDefault="000A579B" w:rsidP="00150C89">
            <w:pPr>
              <w:rPr>
                <w:rFonts w:ascii="Perpetua" w:hAnsi="Perpetua" w:cs="Arial"/>
                <w:color w:val="333333"/>
              </w:rPr>
            </w:pPr>
            <w:r w:rsidRPr="00A262E4">
              <w:rPr>
                <w:rFonts w:ascii="Perpetua" w:hAnsi="Perpetua" w:cs="Arial"/>
                <w:color w:val="333333"/>
              </w:rPr>
              <w:t>Candidiasis oral</w:t>
            </w:r>
          </w:p>
        </w:tc>
        <w:tc>
          <w:tcPr>
            <w:tcW w:w="0" w:type="auto"/>
            <w:tcBorders>
              <w:top w:val="nil"/>
              <w:left w:val="nil"/>
              <w:bottom w:val="nil"/>
              <w:right w:val="nil"/>
            </w:tcBorders>
            <w:tcMar>
              <w:top w:w="30" w:type="dxa"/>
              <w:left w:w="30" w:type="dxa"/>
              <w:bottom w:w="30" w:type="dxa"/>
              <w:right w:w="120" w:type="dxa"/>
            </w:tcMar>
            <w:vAlign w:val="center"/>
            <w:hideMark/>
          </w:tcPr>
          <w:p w14:paraId="3CAF1A4B"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249091EE"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13</w:t>
            </w:r>
          </w:p>
        </w:tc>
        <w:tc>
          <w:tcPr>
            <w:tcW w:w="0" w:type="auto"/>
            <w:tcBorders>
              <w:top w:val="nil"/>
              <w:left w:val="nil"/>
              <w:bottom w:val="nil"/>
              <w:right w:val="nil"/>
            </w:tcBorders>
            <w:tcMar>
              <w:top w:w="30" w:type="dxa"/>
              <w:left w:w="30" w:type="dxa"/>
              <w:bottom w:w="30" w:type="dxa"/>
              <w:right w:w="120" w:type="dxa"/>
            </w:tcMar>
            <w:vAlign w:val="center"/>
            <w:hideMark/>
          </w:tcPr>
          <w:p w14:paraId="593B1367"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4A643C3F"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18.6</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026810F6" w14:textId="77777777" w:rsidR="000A579B" w:rsidRPr="00A262E4" w:rsidRDefault="000A579B" w:rsidP="00150C89">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6D5F5933"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97.1</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7DEDDD55" w14:textId="77777777" w:rsidR="000A579B" w:rsidRPr="00A262E4" w:rsidRDefault="000A579B" w:rsidP="00150C89">
            <w:pPr>
              <w:rPr>
                <w:rFonts w:ascii="Perpetua" w:hAnsi="Perpetua" w:cs="Segoe UI"/>
                <w:color w:val="333333"/>
              </w:rPr>
            </w:pPr>
          </w:p>
        </w:tc>
      </w:tr>
      <w:tr w:rsidR="000A579B" w:rsidRPr="00A262E4" w14:paraId="6BAA3036" w14:textId="77777777" w:rsidTr="00150C89">
        <w:trPr>
          <w:cantSplit/>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1C84362" w14:textId="77777777" w:rsidR="000A579B" w:rsidRPr="00A262E4" w:rsidRDefault="000A579B" w:rsidP="00150C89">
            <w:pPr>
              <w:rPr>
                <w:rFonts w:ascii="Perpetua" w:hAnsi="Perpetua" w:cs="Arial"/>
                <w:color w:val="333333"/>
              </w:rPr>
            </w:pPr>
            <w:r w:rsidRPr="00A262E4">
              <w:rPr>
                <w:rFonts w:ascii="Perpetua" w:hAnsi="Perpetua" w:cs="Arial"/>
                <w:color w:val="333333"/>
              </w:rPr>
              <w:t>Tuberculosis pulmonar</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ACDBD9A" w14:textId="77777777" w:rsidR="000A579B" w:rsidRPr="00A262E4" w:rsidRDefault="000A579B" w:rsidP="00150C89">
            <w:pPr>
              <w:rPr>
                <w:rFonts w:ascii="Perpetua" w:hAnsi="Perpetua" w:cs="Arial"/>
                <w:color w:val="333333"/>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1EF7CDB"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2</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B95DB70" w14:textId="77777777" w:rsidR="000A579B" w:rsidRPr="00A262E4" w:rsidRDefault="000A579B" w:rsidP="00150C89">
            <w:pPr>
              <w:rPr>
                <w:rFonts w:ascii="Perpetua" w:hAnsi="Perpetua" w:cs="Arial"/>
                <w:color w:val="333333"/>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F103784"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2.9</w:t>
            </w:r>
            <w:r w:rsidRPr="00A262E4">
              <w:rPr>
                <w:color w:val="333333"/>
              </w:rPr>
              <w:t> </w:t>
            </w:r>
            <w:r w:rsidRPr="00A262E4">
              <w:rPr>
                <w:rFonts w:ascii="Perpetua" w:hAnsi="Perpetua" w:cs="Arial"/>
                <w:color w:val="333333"/>
              </w:rPr>
              <w:t>%</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C2ECF5F" w14:textId="77777777" w:rsidR="000A579B" w:rsidRPr="00A262E4" w:rsidRDefault="000A579B" w:rsidP="00150C89">
            <w:pPr>
              <w:rPr>
                <w:rFonts w:ascii="Perpetua" w:hAnsi="Perpetua" w:cs="Arial"/>
                <w:color w:val="333333"/>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1AD63247" w14:textId="77777777" w:rsidR="000A579B" w:rsidRPr="00A262E4" w:rsidRDefault="000A579B" w:rsidP="00150C89">
            <w:pPr>
              <w:jc w:val="right"/>
              <w:rPr>
                <w:rFonts w:ascii="Perpetua" w:hAnsi="Perpetua" w:cs="Arial"/>
                <w:color w:val="333333"/>
              </w:rPr>
            </w:pPr>
            <w:r w:rsidRPr="00A262E4">
              <w:rPr>
                <w:rFonts w:ascii="Perpetua" w:hAnsi="Perpetua" w:cs="Arial"/>
                <w:color w:val="333333"/>
              </w:rPr>
              <w:t>100.0</w:t>
            </w:r>
            <w:r w:rsidRPr="00A262E4">
              <w:rPr>
                <w:color w:val="333333"/>
              </w:rPr>
              <w:t> </w:t>
            </w:r>
            <w:r w:rsidRPr="00A262E4">
              <w:rPr>
                <w:rFonts w:ascii="Perpetua" w:hAnsi="Perpetua" w:cs="Arial"/>
                <w:color w:val="333333"/>
              </w:rPr>
              <w:t>%</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6537B34" w14:textId="77777777" w:rsidR="000A579B" w:rsidRPr="00A262E4" w:rsidRDefault="000A579B" w:rsidP="00150C89">
            <w:pPr>
              <w:rPr>
                <w:rFonts w:ascii="Perpetua" w:hAnsi="Perpetua" w:cs="Segoe UI"/>
                <w:color w:val="333333"/>
              </w:rPr>
            </w:pPr>
          </w:p>
        </w:tc>
      </w:tr>
      <w:tr w:rsidR="000A579B" w:rsidRPr="00A262E4" w14:paraId="0F864987" w14:textId="77777777" w:rsidTr="00150C89">
        <w:trPr>
          <w:cantSplit/>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hideMark/>
          </w:tcPr>
          <w:p w14:paraId="7B087BE7" w14:textId="77777777" w:rsidR="000A579B" w:rsidRPr="00A262E4" w:rsidRDefault="000A579B" w:rsidP="00150C89">
            <w:pPr>
              <w:rPr>
                <w:rFonts w:ascii="Perpetua" w:hAnsi="Perpetua" w:cs="Segoe UI"/>
                <w:color w:val="333333"/>
              </w:rPr>
            </w:pPr>
          </w:p>
        </w:tc>
      </w:tr>
    </w:tbl>
    <w:p w14:paraId="2DBF7638" w14:textId="77777777" w:rsidR="002A1DD3" w:rsidRPr="00A262E4" w:rsidRDefault="00FA6649" w:rsidP="002A1DD3">
      <w:pPr>
        <w:spacing w:before="100" w:beforeAutospacing="1" w:after="100" w:afterAutospacing="1" w:line="360" w:lineRule="auto"/>
        <w:jc w:val="both"/>
        <w:rPr>
          <w:rFonts w:ascii="Perpetua" w:hAnsi="Perpetua" w:cs="Arial"/>
          <w:lang w:val="es-CR"/>
        </w:rPr>
      </w:pPr>
      <w:r w:rsidRPr="00A262E4">
        <w:rPr>
          <w:rFonts w:ascii="Perpetua" w:hAnsi="Perpetua" w:cs="Arial"/>
        </w:rPr>
        <w:t xml:space="preserve">Fuente: </w:t>
      </w:r>
      <w:r w:rsidR="00916E5D" w:rsidRPr="00A262E4">
        <w:rPr>
          <w:rFonts w:ascii="Perpetua" w:hAnsi="Perpetua" w:cs="Arial"/>
        </w:rPr>
        <w:t xml:space="preserve">Expedientes </w:t>
      </w:r>
      <w:r w:rsidR="006E7B3C" w:rsidRPr="00A262E4">
        <w:rPr>
          <w:rFonts w:ascii="Perpetua" w:hAnsi="Perpetua" w:cs="Arial"/>
        </w:rPr>
        <w:t>clínicos</w:t>
      </w:r>
      <w:r w:rsidRPr="00A262E4">
        <w:rPr>
          <w:rFonts w:ascii="Perpetua" w:hAnsi="Perpetua" w:cs="Arial"/>
        </w:rPr>
        <w:t>.</w:t>
      </w:r>
    </w:p>
    <w:p w14:paraId="25270256" w14:textId="77777777" w:rsidR="00233E94" w:rsidRPr="00A262E4" w:rsidRDefault="00CD7479" w:rsidP="00550206">
      <w:pPr>
        <w:spacing w:afterLines="200" w:after="480" w:line="360" w:lineRule="auto"/>
        <w:jc w:val="both"/>
        <w:rPr>
          <w:rFonts w:ascii="Perpetua" w:hAnsi="Perpetua" w:cs="Arial"/>
        </w:rPr>
      </w:pPr>
      <w:r w:rsidRPr="00A262E4">
        <w:rPr>
          <w:rFonts w:ascii="Perpetua" w:hAnsi="Perpetua" w:cs="Arial"/>
        </w:rPr>
        <w:lastRenderedPageBreak/>
        <w:t xml:space="preserve">Se reportaron diferencias estadísticamente significativas entre las proporciones de los niveles de las variables </w:t>
      </w:r>
      <w:r w:rsidR="007856BE" w:rsidRPr="00A262E4">
        <w:rPr>
          <w:rFonts w:ascii="Perpetua" w:hAnsi="Perpetua" w:cs="Arial"/>
        </w:rPr>
        <w:t>Condición</w:t>
      </w:r>
      <w:r w:rsidR="003D0AE6" w:rsidRPr="00A262E4">
        <w:rPr>
          <w:rFonts w:ascii="Perpetua" w:hAnsi="Perpetua" w:cs="Arial"/>
        </w:rPr>
        <w:t xml:space="preserve"> al egreso y Nivel de CD</w:t>
      </w:r>
      <w:r w:rsidR="003D0AE6" w:rsidRPr="00A262E4">
        <w:rPr>
          <w:rFonts w:ascii="Perpetua" w:hAnsi="Perpetua" w:cs="Arial"/>
          <w:vertAlign w:val="subscript"/>
        </w:rPr>
        <w:t>4</w:t>
      </w:r>
      <w:r w:rsidR="007856BE" w:rsidRPr="00A262E4">
        <w:rPr>
          <w:rFonts w:ascii="Perpetua" w:hAnsi="Perpetua" w:cs="Arial"/>
        </w:rPr>
        <w:t xml:space="preserve"> </w:t>
      </w:r>
      <w:r w:rsidRPr="00A262E4">
        <w:rPr>
          <w:rFonts w:ascii="Perpetua" w:hAnsi="Perpetua" w:cs="Arial"/>
        </w:rPr>
        <w:t>(X</w:t>
      </w:r>
      <w:r w:rsidRPr="00A262E4">
        <w:rPr>
          <w:rFonts w:ascii="Perpetua" w:hAnsi="Perpetua" w:cs="Arial"/>
          <w:vertAlign w:val="superscript"/>
        </w:rPr>
        <w:t>2</w:t>
      </w:r>
      <w:r w:rsidRPr="00A262E4">
        <w:rPr>
          <w:rFonts w:ascii="Perpetua" w:hAnsi="Perpetua" w:cs="Arial"/>
        </w:rPr>
        <w:t>(2)</w:t>
      </w:r>
      <w:r w:rsidR="00405933" w:rsidRPr="00A262E4">
        <w:rPr>
          <w:rFonts w:ascii="Perpetua" w:hAnsi="Perpetua" w:cs="Arial"/>
        </w:rPr>
        <w:t xml:space="preserve"> </w:t>
      </w:r>
      <w:r w:rsidRPr="00A262E4">
        <w:rPr>
          <w:rFonts w:ascii="Perpetua" w:hAnsi="Perpetua" w:cs="Arial"/>
        </w:rPr>
        <w:t>=</w:t>
      </w:r>
      <w:r w:rsidR="00405933" w:rsidRPr="00A262E4">
        <w:rPr>
          <w:rFonts w:ascii="Perpetua" w:hAnsi="Perpetua" w:cs="Arial"/>
        </w:rPr>
        <w:t xml:space="preserve"> </w:t>
      </w:r>
      <w:r w:rsidRPr="00A262E4">
        <w:rPr>
          <w:rFonts w:ascii="Perpetua" w:hAnsi="Perpetua" w:cs="Arial"/>
        </w:rPr>
        <w:t>6</w:t>
      </w:r>
      <w:r w:rsidR="00A40638" w:rsidRPr="00A262E4">
        <w:rPr>
          <w:rFonts w:ascii="Perpetua" w:hAnsi="Perpetua" w:cs="Arial"/>
        </w:rPr>
        <w:t xml:space="preserve">, 19, </w:t>
      </w:r>
      <w:r w:rsidR="00A40638" w:rsidRPr="00A262E4">
        <w:rPr>
          <w:rFonts w:ascii="Perpetua" w:hAnsi="Perpetua" w:cs="Arial"/>
          <w:i/>
        </w:rPr>
        <w:t>p</w:t>
      </w:r>
      <w:r w:rsidR="00240B4B" w:rsidRPr="00A262E4">
        <w:rPr>
          <w:rFonts w:ascii="Perpetua" w:hAnsi="Perpetua" w:cs="Arial"/>
        </w:rPr>
        <w:t xml:space="preserve"> </w:t>
      </w:r>
      <w:r w:rsidRPr="00A262E4">
        <w:rPr>
          <w:rFonts w:ascii="Perpetua" w:hAnsi="Perpetua" w:cs="Arial"/>
        </w:rPr>
        <w:t>&lt;</w:t>
      </w:r>
      <w:r w:rsidR="00240B4B" w:rsidRPr="00A262E4">
        <w:rPr>
          <w:rFonts w:ascii="Perpetua" w:hAnsi="Perpetua" w:cs="Arial"/>
        </w:rPr>
        <w:t xml:space="preserve"> </w:t>
      </w:r>
      <w:r w:rsidRPr="00A262E4">
        <w:rPr>
          <w:rFonts w:ascii="Perpetua" w:hAnsi="Perpetua" w:cs="Arial"/>
        </w:rPr>
        <w:t>0,05)</w:t>
      </w:r>
      <w:r w:rsidR="00267997" w:rsidRPr="00A262E4">
        <w:rPr>
          <w:rFonts w:ascii="Perpetua" w:hAnsi="Perpetua" w:cs="Arial"/>
        </w:rPr>
        <w:t>. Entre los 42 pacientes que tuvi</w:t>
      </w:r>
      <w:r w:rsidR="003D0AE6" w:rsidRPr="00A262E4">
        <w:rPr>
          <w:rFonts w:ascii="Perpetua" w:hAnsi="Perpetua" w:cs="Arial"/>
        </w:rPr>
        <w:t>eron un nivel de CD</w:t>
      </w:r>
      <w:r w:rsidR="003D0AE6" w:rsidRPr="00A262E4">
        <w:rPr>
          <w:rFonts w:ascii="Perpetua" w:hAnsi="Perpetua" w:cs="Arial"/>
          <w:vertAlign w:val="subscript"/>
        </w:rPr>
        <w:t>4</w:t>
      </w:r>
      <w:r w:rsidR="007D304C" w:rsidRPr="00A262E4">
        <w:rPr>
          <w:rFonts w:ascii="Perpetua" w:hAnsi="Perpetua" w:cs="Arial"/>
        </w:rPr>
        <w:t xml:space="preserve"> mayor que 1</w:t>
      </w:r>
      <w:r w:rsidR="00267997" w:rsidRPr="00A262E4">
        <w:rPr>
          <w:rFonts w:ascii="Perpetua" w:hAnsi="Perpetua" w:cs="Arial"/>
        </w:rPr>
        <w:t>00, 25 de ellos (58,9%) egresaron vivos con  discapacidad</w:t>
      </w:r>
      <w:r w:rsidR="00D854F0" w:rsidRPr="00A262E4">
        <w:rPr>
          <w:rFonts w:ascii="Perpetua" w:hAnsi="Perpetua" w:cs="Arial"/>
        </w:rPr>
        <w:t>, 10</w:t>
      </w:r>
      <w:r w:rsidR="00D70622" w:rsidRPr="00A262E4">
        <w:rPr>
          <w:rFonts w:ascii="Perpetua" w:hAnsi="Perpetua" w:cs="Arial"/>
        </w:rPr>
        <w:t xml:space="preserve"> de ellos (23,8%) reportaron viv</w:t>
      </w:r>
      <w:r w:rsidR="00FC0684" w:rsidRPr="00A262E4">
        <w:rPr>
          <w:rFonts w:ascii="Perpetua" w:hAnsi="Perpetua" w:cs="Arial"/>
        </w:rPr>
        <w:t xml:space="preserve">ir sin discapacidad y el resto </w:t>
      </w:r>
      <w:r w:rsidR="00D70622" w:rsidRPr="00A262E4">
        <w:rPr>
          <w:rFonts w:ascii="Perpetua" w:hAnsi="Perpetua" w:cs="Arial"/>
        </w:rPr>
        <w:t>7</w:t>
      </w:r>
      <w:r w:rsidR="007856BE" w:rsidRPr="00A262E4">
        <w:rPr>
          <w:rFonts w:ascii="Perpetua" w:hAnsi="Perpetua" w:cs="Arial"/>
        </w:rPr>
        <w:t xml:space="preserve"> </w:t>
      </w:r>
      <w:r w:rsidR="00FC0684" w:rsidRPr="00A262E4">
        <w:rPr>
          <w:rFonts w:ascii="Perpetua" w:hAnsi="Perpetua" w:cs="Arial"/>
        </w:rPr>
        <w:t>(</w:t>
      </w:r>
      <w:r w:rsidR="007856BE" w:rsidRPr="00A262E4">
        <w:rPr>
          <w:rFonts w:ascii="Perpetua" w:hAnsi="Perpetua" w:cs="Arial"/>
        </w:rPr>
        <w:t xml:space="preserve">16,7%) </w:t>
      </w:r>
      <w:r w:rsidR="00B00300" w:rsidRPr="00A262E4">
        <w:rPr>
          <w:rFonts w:ascii="Perpetua" w:hAnsi="Perpetua" w:cs="Arial"/>
        </w:rPr>
        <w:t>falleció</w:t>
      </w:r>
      <w:r w:rsidR="007856BE" w:rsidRPr="00A262E4">
        <w:rPr>
          <w:rFonts w:ascii="Perpetua" w:hAnsi="Perpetua" w:cs="Arial"/>
        </w:rPr>
        <w:t xml:space="preserve">. </w:t>
      </w:r>
      <w:r w:rsidR="00B00300" w:rsidRPr="00A262E4">
        <w:rPr>
          <w:rFonts w:ascii="Perpetua" w:hAnsi="Perpetua" w:cs="Arial"/>
        </w:rPr>
        <w:t>Por otro lado, 28 pacientes reporta</w:t>
      </w:r>
      <w:r w:rsidR="003D0AE6" w:rsidRPr="00A262E4">
        <w:rPr>
          <w:rFonts w:ascii="Perpetua" w:hAnsi="Perpetua" w:cs="Arial"/>
        </w:rPr>
        <w:t>ron niveles de CD</w:t>
      </w:r>
      <w:r w:rsidR="003D0AE6" w:rsidRPr="00A262E4">
        <w:rPr>
          <w:rFonts w:ascii="Perpetua" w:hAnsi="Perpetua" w:cs="Arial"/>
          <w:vertAlign w:val="subscript"/>
        </w:rPr>
        <w:t>4</w:t>
      </w:r>
      <w:r w:rsidR="007D304C" w:rsidRPr="00A262E4">
        <w:rPr>
          <w:rFonts w:ascii="Perpetua" w:hAnsi="Perpetua" w:cs="Arial"/>
        </w:rPr>
        <w:t xml:space="preserve"> menores que 1</w:t>
      </w:r>
      <w:r w:rsidR="00B00300" w:rsidRPr="00A262E4">
        <w:rPr>
          <w:rFonts w:ascii="Perpetua" w:hAnsi="Perpetua" w:cs="Arial"/>
        </w:rPr>
        <w:t>00. De ellos el 49,9% (12) fallecieron, el 35,7%</w:t>
      </w:r>
      <w:r w:rsidR="00EF0222" w:rsidRPr="00A262E4">
        <w:rPr>
          <w:rFonts w:ascii="Perpetua" w:hAnsi="Perpetua" w:cs="Arial"/>
        </w:rPr>
        <w:t xml:space="preserve"> </w:t>
      </w:r>
      <w:r w:rsidR="00B00300" w:rsidRPr="00A262E4">
        <w:rPr>
          <w:rFonts w:ascii="Perpetua" w:hAnsi="Perpetua" w:cs="Arial"/>
        </w:rPr>
        <w:t>(10 pacientes) egresaron con discapacidad y el resto 6,21% sin la misma</w:t>
      </w:r>
      <w:r w:rsidR="00A40638" w:rsidRPr="00A262E4">
        <w:rPr>
          <w:rFonts w:ascii="Perpetua" w:hAnsi="Perpetua" w:cs="Arial"/>
        </w:rPr>
        <w:t xml:space="preserve"> (Tabla 2)</w:t>
      </w:r>
      <w:r w:rsidR="00E46897" w:rsidRPr="00A262E4">
        <w:rPr>
          <w:rFonts w:ascii="Perpetua" w:hAnsi="Perpetua" w:cs="Arial"/>
        </w:rPr>
        <w:t>.</w:t>
      </w:r>
      <w:r w:rsidR="00A40638" w:rsidRPr="00A262E4">
        <w:rPr>
          <w:rFonts w:ascii="Perpetua" w:hAnsi="Perpetua" w:cs="Aria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5"/>
        <w:gridCol w:w="190"/>
        <w:gridCol w:w="156"/>
        <w:gridCol w:w="186"/>
        <w:gridCol w:w="1735"/>
        <w:gridCol w:w="340"/>
        <w:gridCol w:w="1376"/>
        <w:gridCol w:w="275"/>
        <w:gridCol w:w="888"/>
        <w:gridCol w:w="201"/>
      </w:tblGrid>
      <w:tr w:rsidR="0060354C" w:rsidRPr="00A262E4" w14:paraId="006565CC" w14:textId="77777777" w:rsidTr="0060354C">
        <w:trPr>
          <w:cantSplit/>
          <w:tblHeader/>
          <w:tblCellSpacing w:w="15" w:type="dxa"/>
        </w:trPr>
        <w:tc>
          <w:tcPr>
            <w:tcW w:w="0" w:type="auto"/>
            <w:gridSpan w:val="10"/>
            <w:tcBorders>
              <w:top w:val="nil"/>
              <w:left w:val="nil"/>
              <w:bottom w:val="single" w:sz="6" w:space="0" w:color="333333"/>
              <w:right w:val="nil"/>
            </w:tcBorders>
            <w:tcMar>
              <w:top w:w="60" w:type="dxa"/>
              <w:left w:w="0" w:type="dxa"/>
              <w:bottom w:w="60" w:type="dxa"/>
              <w:right w:w="120" w:type="dxa"/>
            </w:tcMar>
            <w:vAlign w:val="center"/>
            <w:hideMark/>
          </w:tcPr>
          <w:p w14:paraId="6491555D" w14:textId="77777777" w:rsidR="00C45EF0" w:rsidRPr="00A262E4" w:rsidRDefault="00723A37" w:rsidP="0060354C">
            <w:pPr>
              <w:rPr>
                <w:rFonts w:ascii="Perpetua" w:hAnsi="Perpetua" w:cs="Arial"/>
                <w:color w:val="333333"/>
              </w:rPr>
            </w:pPr>
            <w:r w:rsidRPr="00A262E4">
              <w:rPr>
                <w:rFonts w:ascii="Perpetua" w:hAnsi="Perpetua" w:cs="Segoe UI"/>
                <w:color w:val="333333"/>
              </w:rPr>
              <w:t> </w:t>
            </w:r>
          </w:p>
          <w:p w14:paraId="3684AC80" w14:textId="77777777" w:rsidR="0060354C" w:rsidRPr="00A262E4" w:rsidRDefault="00150C89" w:rsidP="0060354C">
            <w:pPr>
              <w:rPr>
                <w:rFonts w:ascii="Perpetua" w:hAnsi="Perpetua" w:cs="Arial"/>
                <w:color w:val="333333"/>
                <w:vertAlign w:val="subscript"/>
              </w:rPr>
            </w:pPr>
            <w:r w:rsidRPr="00A262E4">
              <w:rPr>
                <w:rFonts w:ascii="Perpetua" w:hAnsi="Perpetua" w:cs="Arial"/>
                <w:color w:val="333333"/>
              </w:rPr>
              <w:t>Tabla 2</w:t>
            </w:r>
            <w:r w:rsidR="00EB2C61" w:rsidRPr="00A262E4">
              <w:rPr>
                <w:rFonts w:ascii="Perpetua" w:hAnsi="Perpetua" w:cs="Arial"/>
                <w:color w:val="333333"/>
              </w:rPr>
              <w:t xml:space="preserve">. </w:t>
            </w:r>
            <w:r w:rsidR="00DB7541" w:rsidRPr="00A262E4">
              <w:rPr>
                <w:rFonts w:ascii="Perpetua" w:hAnsi="Perpetua" w:cs="Arial"/>
                <w:color w:val="333333"/>
              </w:rPr>
              <w:t>Asociación</w:t>
            </w:r>
            <w:r w:rsidR="00A5228F" w:rsidRPr="00A262E4">
              <w:rPr>
                <w:rFonts w:ascii="Perpetua" w:hAnsi="Perpetua" w:cs="Arial"/>
                <w:color w:val="333333"/>
              </w:rPr>
              <w:t xml:space="preserve"> entre </w:t>
            </w:r>
            <w:r w:rsidR="00813BF7" w:rsidRPr="00A262E4">
              <w:rPr>
                <w:rFonts w:ascii="Perpetua" w:hAnsi="Perpetua" w:cs="Arial"/>
                <w:color w:val="333333"/>
              </w:rPr>
              <w:t>c</w:t>
            </w:r>
            <w:r w:rsidR="007B4420" w:rsidRPr="00A262E4">
              <w:rPr>
                <w:rFonts w:ascii="Perpetua" w:hAnsi="Perpetua" w:cs="Arial"/>
                <w:color w:val="333333"/>
              </w:rPr>
              <w:t>ondición</w:t>
            </w:r>
            <w:r w:rsidR="00A5228F" w:rsidRPr="00A262E4">
              <w:rPr>
                <w:rFonts w:ascii="Perpetua" w:hAnsi="Perpetua" w:cs="Arial"/>
                <w:color w:val="333333"/>
              </w:rPr>
              <w:t xml:space="preserve"> al egreso y niveles de CD</w:t>
            </w:r>
            <w:r w:rsidR="00A5228F" w:rsidRPr="00A262E4">
              <w:rPr>
                <w:rFonts w:ascii="Perpetua" w:hAnsi="Perpetua" w:cs="Arial"/>
                <w:color w:val="333333"/>
                <w:vertAlign w:val="subscript"/>
              </w:rPr>
              <w:t>4</w:t>
            </w:r>
            <w:r w:rsidR="001D1B2B" w:rsidRPr="00A262E4">
              <w:rPr>
                <w:rFonts w:ascii="Perpetua" w:hAnsi="Perpetua" w:cs="Arial"/>
                <w:color w:val="333333"/>
                <w:vertAlign w:val="subscript"/>
              </w:rPr>
              <w:t>.</w:t>
            </w:r>
          </w:p>
          <w:p w14:paraId="1ADA6A91" w14:textId="77777777" w:rsidR="00C45EF0" w:rsidRPr="00A262E4" w:rsidRDefault="00C45EF0" w:rsidP="0060354C">
            <w:pPr>
              <w:rPr>
                <w:rFonts w:ascii="Perpetua" w:hAnsi="Perpetua" w:cs="Arial"/>
                <w:color w:val="333333"/>
              </w:rPr>
            </w:pPr>
          </w:p>
          <w:p w14:paraId="4836FBC4" w14:textId="77777777" w:rsidR="00C45EF0" w:rsidRPr="00A262E4" w:rsidRDefault="00C45EF0" w:rsidP="0060354C">
            <w:pPr>
              <w:rPr>
                <w:rFonts w:ascii="Perpetua" w:hAnsi="Perpetua" w:cs="Arial"/>
                <w:b/>
                <w:bCs/>
                <w:color w:val="333333"/>
              </w:rPr>
            </w:pPr>
          </w:p>
        </w:tc>
      </w:tr>
      <w:tr w:rsidR="0060354C" w:rsidRPr="00A262E4" w14:paraId="0A2956EE" w14:textId="77777777" w:rsidTr="0060354C">
        <w:trPr>
          <w:cantSplit/>
          <w:tblHeader/>
          <w:tblCellSpacing w:w="15" w:type="dxa"/>
        </w:trPr>
        <w:tc>
          <w:tcPr>
            <w:tcW w:w="0" w:type="auto"/>
            <w:gridSpan w:val="4"/>
            <w:tcBorders>
              <w:top w:val="nil"/>
              <w:left w:val="nil"/>
              <w:bottom w:val="nil"/>
              <w:right w:val="nil"/>
            </w:tcBorders>
            <w:tcMar>
              <w:top w:w="60" w:type="dxa"/>
              <w:left w:w="120" w:type="dxa"/>
              <w:bottom w:w="60" w:type="dxa"/>
              <w:right w:w="120" w:type="dxa"/>
            </w:tcMar>
            <w:vAlign w:val="center"/>
            <w:hideMark/>
          </w:tcPr>
          <w:p w14:paraId="4CFF038C" w14:textId="77777777" w:rsidR="0060354C" w:rsidRPr="00A262E4" w:rsidRDefault="0060354C" w:rsidP="0060354C">
            <w:pPr>
              <w:jc w:val="center"/>
              <w:rPr>
                <w:rFonts w:ascii="Perpetua" w:hAnsi="Perpetua" w:cs="Segoe UI"/>
                <w:b/>
                <w:bCs/>
                <w:color w:val="333333"/>
              </w:rPr>
            </w:pPr>
          </w:p>
        </w:tc>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6E37F3CA" w14:textId="77777777" w:rsidR="0060354C" w:rsidRPr="00A262E4" w:rsidRDefault="00A5228F" w:rsidP="0060354C">
            <w:pPr>
              <w:jc w:val="center"/>
              <w:rPr>
                <w:rFonts w:ascii="Perpetua" w:hAnsi="Perpetua" w:cs="Arial"/>
                <w:b/>
                <w:bCs/>
                <w:color w:val="333333"/>
                <w:vertAlign w:val="subscript"/>
              </w:rPr>
            </w:pPr>
            <w:r w:rsidRPr="00A262E4">
              <w:rPr>
                <w:rFonts w:ascii="Perpetua" w:hAnsi="Perpetua" w:cs="Arial"/>
                <w:b/>
                <w:bCs/>
                <w:color w:val="333333"/>
              </w:rPr>
              <w:t>Nivel de CD</w:t>
            </w:r>
            <w:r w:rsidRPr="00A262E4">
              <w:rPr>
                <w:rFonts w:ascii="Perpetua" w:hAnsi="Perpetua" w:cs="Arial"/>
                <w:b/>
                <w:bCs/>
                <w:color w:val="333333"/>
                <w:vertAlign w:val="subscript"/>
              </w:rPr>
              <w:t>4</w:t>
            </w:r>
          </w:p>
        </w:tc>
        <w:tc>
          <w:tcPr>
            <w:tcW w:w="0" w:type="auto"/>
            <w:gridSpan w:val="2"/>
            <w:tcBorders>
              <w:top w:val="nil"/>
              <w:left w:val="nil"/>
              <w:bottom w:val="nil"/>
              <w:right w:val="nil"/>
            </w:tcBorders>
            <w:tcMar>
              <w:top w:w="60" w:type="dxa"/>
              <w:left w:w="120" w:type="dxa"/>
              <w:bottom w:w="60" w:type="dxa"/>
              <w:right w:w="120" w:type="dxa"/>
            </w:tcMar>
            <w:vAlign w:val="center"/>
            <w:hideMark/>
          </w:tcPr>
          <w:p w14:paraId="7390841E" w14:textId="77777777" w:rsidR="0060354C" w:rsidRPr="00A262E4" w:rsidRDefault="0060354C" w:rsidP="0060354C">
            <w:pPr>
              <w:jc w:val="center"/>
              <w:rPr>
                <w:rFonts w:ascii="Perpetua" w:hAnsi="Perpetua" w:cs="Segoe UI"/>
                <w:b/>
                <w:bCs/>
                <w:color w:val="333333"/>
              </w:rPr>
            </w:pPr>
          </w:p>
        </w:tc>
      </w:tr>
      <w:tr w:rsidR="0060354C" w:rsidRPr="00A262E4" w14:paraId="646B0F05" w14:textId="77777777" w:rsidTr="0060354C">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EF8AED1" w14:textId="77777777" w:rsidR="0060354C" w:rsidRPr="00A262E4" w:rsidRDefault="0060354C" w:rsidP="0060354C">
            <w:pPr>
              <w:jc w:val="center"/>
              <w:rPr>
                <w:rFonts w:ascii="Perpetua" w:hAnsi="Perpetua" w:cs="Arial"/>
                <w:b/>
                <w:bCs/>
                <w:color w:val="333333"/>
              </w:rPr>
            </w:pPr>
            <w:proofErr w:type="spellStart"/>
            <w:r w:rsidRPr="00A262E4">
              <w:rPr>
                <w:rFonts w:ascii="Perpetua" w:hAnsi="Perpetua" w:cs="Arial"/>
                <w:b/>
                <w:bCs/>
                <w:color w:val="333333"/>
              </w:rPr>
              <w:t>Condiciòn</w:t>
            </w:r>
            <w:proofErr w:type="spellEnd"/>
            <w:r w:rsidRPr="00A262E4">
              <w:rPr>
                <w:rFonts w:ascii="Perpetua" w:hAnsi="Perpetua" w:cs="Arial"/>
                <w:b/>
                <w:bCs/>
                <w:color w:val="333333"/>
              </w:rPr>
              <w:t xml:space="preserve"> al egreso</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5577745" w14:textId="77777777" w:rsidR="0060354C" w:rsidRPr="00A262E4" w:rsidRDefault="0060354C" w:rsidP="0060354C">
            <w:pPr>
              <w:jc w:val="center"/>
              <w:rPr>
                <w:rFonts w:ascii="Perpetua" w:hAnsi="Perpetua" w:cs="Arial"/>
                <w:b/>
                <w:bCs/>
                <w:color w:val="333333"/>
              </w:rPr>
            </w:pPr>
            <w:r w:rsidRPr="00A262E4">
              <w:rPr>
                <w:rFonts w:ascii="Perpetua" w:hAnsi="Perpetua" w:cs="Arial"/>
                <w:b/>
                <w:bCs/>
                <w:color w:val="333333"/>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78768E9" w14:textId="77777777" w:rsidR="0060354C" w:rsidRPr="00A262E4" w:rsidRDefault="00232674" w:rsidP="0060354C">
            <w:pPr>
              <w:jc w:val="center"/>
              <w:rPr>
                <w:rFonts w:ascii="Perpetua" w:hAnsi="Perpetua" w:cs="Arial"/>
                <w:b/>
                <w:bCs/>
                <w:color w:val="333333"/>
              </w:rPr>
            </w:pPr>
            <w:r w:rsidRPr="00A262E4">
              <w:rPr>
                <w:rFonts w:ascii="Perpetua" w:hAnsi="Perpetua" w:cs="Arial"/>
                <w:b/>
                <w:bCs/>
                <w:color w:val="333333"/>
              </w:rPr>
              <w:t>Mayor o igual 1</w:t>
            </w:r>
            <w:r w:rsidR="0060354C" w:rsidRPr="00A262E4">
              <w:rPr>
                <w:rFonts w:ascii="Perpetua" w:hAnsi="Perpetua" w:cs="Arial"/>
                <w:b/>
                <w:bCs/>
                <w:color w:val="333333"/>
              </w:rPr>
              <w:t>00</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0D07A20" w14:textId="77777777" w:rsidR="0060354C" w:rsidRPr="00A262E4" w:rsidRDefault="00232674" w:rsidP="0060354C">
            <w:pPr>
              <w:jc w:val="center"/>
              <w:rPr>
                <w:rFonts w:ascii="Perpetua" w:hAnsi="Perpetua" w:cs="Arial"/>
                <w:b/>
                <w:bCs/>
                <w:color w:val="333333"/>
              </w:rPr>
            </w:pPr>
            <w:r w:rsidRPr="00A262E4">
              <w:rPr>
                <w:rFonts w:ascii="Perpetua" w:hAnsi="Perpetua" w:cs="Arial"/>
                <w:b/>
                <w:bCs/>
                <w:color w:val="333333"/>
              </w:rPr>
              <w:t>Menor de 1</w:t>
            </w:r>
            <w:r w:rsidR="0060354C" w:rsidRPr="00A262E4">
              <w:rPr>
                <w:rFonts w:ascii="Perpetua" w:hAnsi="Perpetua" w:cs="Arial"/>
                <w:b/>
                <w:bCs/>
                <w:color w:val="333333"/>
              </w:rPr>
              <w:t>00</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8EA0268" w14:textId="77777777" w:rsidR="0060354C" w:rsidRPr="00A262E4" w:rsidRDefault="0060354C" w:rsidP="0060354C">
            <w:pPr>
              <w:jc w:val="center"/>
              <w:rPr>
                <w:rFonts w:ascii="Perpetua" w:hAnsi="Perpetua" w:cs="Arial"/>
                <w:b/>
                <w:bCs/>
                <w:color w:val="333333"/>
              </w:rPr>
            </w:pPr>
            <w:r w:rsidRPr="00A262E4">
              <w:rPr>
                <w:rFonts w:ascii="Perpetua" w:hAnsi="Perpetua" w:cs="Arial"/>
                <w:b/>
                <w:bCs/>
                <w:color w:val="333333"/>
              </w:rPr>
              <w:t>Total</w:t>
            </w:r>
          </w:p>
        </w:tc>
      </w:tr>
      <w:tr w:rsidR="0060354C" w:rsidRPr="00A262E4" w14:paraId="40E7FF05" w14:textId="77777777" w:rsidTr="00C45EF0">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7A2C1857" w14:textId="77777777" w:rsidR="0060354C" w:rsidRPr="00A262E4" w:rsidRDefault="0060354C" w:rsidP="0060354C">
            <w:pPr>
              <w:rPr>
                <w:rFonts w:ascii="Perpetua" w:hAnsi="Perpetua" w:cs="Arial"/>
                <w:color w:val="333333"/>
              </w:rPr>
            </w:pPr>
            <w:r w:rsidRPr="00A262E4">
              <w:rPr>
                <w:rFonts w:ascii="Perpetua" w:hAnsi="Perpetua" w:cs="Arial"/>
                <w:color w:val="333333"/>
              </w:rPr>
              <w:t>Fallecido</w:t>
            </w:r>
          </w:p>
        </w:tc>
        <w:tc>
          <w:tcPr>
            <w:tcW w:w="0" w:type="auto"/>
            <w:tcBorders>
              <w:top w:val="nil"/>
              <w:left w:val="nil"/>
              <w:bottom w:val="nil"/>
              <w:right w:val="nil"/>
            </w:tcBorders>
            <w:tcMar>
              <w:top w:w="120" w:type="dxa"/>
              <w:left w:w="30" w:type="dxa"/>
              <w:bottom w:w="30" w:type="dxa"/>
              <w:right w:w="120" w:type="dxa"/>
            </w:tcMar>
            <w:vAlign w:val="center"/>
            <w:hideMark/>
          </w:tcPr>
          <w:p w14:paraId="08AEC688"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tcPr>
          <w:p w14:paraId="34030BE0"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30" w:type="dxa"/>
              <w:bottom w:w="30" w:type="dxa"/>
              <w:right w:w="120" w:type="dxa"/>
            </w:tcMar>
            <w:vAlign w:val="center"/>
          </w:tcPr>
          <w:p w14:paraId="73EB5A40"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26F24D33"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12</w:t>
            </w:r>
          </w:p>
        </w:tc>
        <w:tc>
          <w:tcPr>
            <w:tcW w:w="0" w:type="auto"/>
            <w:tcBorders>
              <w:top w:val="nil"/>
              <w:left w:val="nil"/>
              <w:bottom w:val="nil"/>
              <w:right w:val="nil"/>
            </w:tcBorders>
            <w:tcMar>
              <w:top w:w="120" w:type="dxa"/>
              <w:left w:w="30" w:type="dxa"/>
              <w:bottom w:w="30" w:type="dxa"/>
              <w:right w:w="120" w:type="dxa"/>
            </w:tcMar>
            <w:vAlign w:val="center"/>
            <w:hideMark/>
          </w:tcPr>
          <w:p w14:paraId="3888726C"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659A6B5B"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7</w:t>
            </w:r>
          </w:p>
        </w:tc>
        <w:tc>
          <w:tcPr>
            <w:tcW w:w="0" w:type="auto"/>
            <w:tcBorders>
              <w:top w:val="nil"/>
              <w:left w:val="nil"/>
              <w:bottom w:val="nil"/>
              <w:right w:val="nil"/>
            </w:tcBorders>
            <w:tcMar>
              <w:top w:w="120" w:type="dxa"/>
              <w:left w:w="30" w:type="dxa"/>
              <w:bottom w:w="30" w:type="dxa"/>
              <w:right w:w="120" w:type="dxa"/>
            </w:tcMar>
            <w:vAlign w:val="center"/>
            <w:hideMark/>
          </w:tcPr>
          <w:p w14:paraId="70155EE4"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7EE6530D"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19</w:t>
            </w:r>
          </w:p>
        </w:tc>
        <w:tc>
          <w:tcPr>
            <w:tcW w:w="0" w:type="auto"/>
            <w:tcBorders>
              <w:top w:val="nil"/>
              <w:left w:val="nil"/>
              <w:bottom w:val="nil"/>
              <w:right w:val="nil"/>
            </w:tcBorders>
            <w:tcMar>
              <w:top w:w="120" w:type="dxa"/>
              <w:left w:w="30" w:type="dxa"/>
              <w:bottom w:w="30" w:type="dxa"/>
              <w:right w:w="120" w:type="dxa"/>
            </w:tcMar>
            <w:vAlign w:val="center"/>
            <w:hideMark/>
          </w:tcPr>
          <w:p w14:paraId="650D0E3C" w14:textId="77777777" w:rsidR="0060354C" w:rsidRPr="00A262E4" w:rsidRDefault="0060354C" w:rsidP="0060354C">
            <w:pPr>
              <w:rPr>
                <w:rFonts w:ascii="Perpetua" w:hAnsi="Perpetua" w:cs="Segoe UI"/>
                <w:color w:val="333333"/>
              </w:rPr>
            </w:pPr>
          </w:p>
        </w:tc>
      </w:tr>
      <w:tr w:rsidR="0060354C" w:rsidRPr="00A262E4" w14:paraId="46A6251E" w14:textId="77777777" w:rsidTr="00C45EF0">
        <w:trPr>
          <w:cantSplit/>
          <w:tblCellSpacing w:w="15" w:type="dxa"/>
        </w:trPr>
        <w:tc>
          <w:tcPr>
            <w:tcW w:w="0" w:type="auto"/>
            <w:gridSpan w:val="2"/>
            <w:tcBorders>
              <w:top w:val="nil"/>
              <w:left w:val="nil"/>
              <w:bottom w:val="nil"/>
              <w:right w:val="nil"/>
            </w:tcBorders>
            <w:vAlign w:val="center"/>
            <w:hideMark/>
          </w:tcPr>
          <w:p w14:paraId="1F2F39E3" w14:textId="77777777" w:rsidR="0060354C" w:rsidRPr="00A262E4" w:rsidRDefault="0060354C" w:rsidP="0060354C">
            <w:pPr>
              <w:rPr>
                <w:rFonts w:ascii="Perpetua" w:hAnsi="Perpetua" w:cs="Arial"/>
                <w:color w:val="333333"/>
              </w:rPr>
            </w:pPr>
            <w:r w:rsidRPr="00A262E4">
              <w:rPr>
                <w:rFonts w:ascii="Perpetua" w:hAnsi="Perpetua" w:cs="Arial"/>
                <w:color w:val="333333"/>
              </w:rPr>
              <w:t> </w:t>
            </w:r>
          </w:p>
        </w:tc>
        <w:tc>
          <w:tcPr>
            <w:tcW w:w="0" w:type="auto"/>
            <w:tcBorders>
              <w:top w:val="nil"/>
              <w:left w:val="nil"/>
              <w:bottom w:val="nil"/>
              <w:right w:val="nil"/>
            </w:tcBorders>
            <w:tcMar>
              <w:top w:w="30" w:type="dxa"/>
              <w:left w:w="120" w:type="dxa"/>
              <w:bottom w:w="30" w:type="dxa"/>
              <w:right w:w="0" w:type="dxa"/>
            </w:tcMar>
            <w:vAlign w:val="center"/>
          </w:tcPr>
          <w:p w14:paraId="71CC6F7C"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30" w:type="dxa"/>
              <w:bottom w:w="30" w:type="dxa"/>
              <w:right w:w="120" w:type="dxa"/>
            </w:tcMar>
            <w:vAlign w:val="center"/>
          </w:tcPr>
          <w:p w14:paraId="4ADDE6D3"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3DED1361"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42.9</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4B0D4B33"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580AD0FF"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16.7</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3200AEF0"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5F440108"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27.1</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4EE8738F" w14:textId="77777777" w:rsidR="0060354C" w:rsidRPr="00A262E4" w:rsidRDefault="0060354C" w:rsidP="0060354C">
            <w:pPr>
              <w:rPr>
                <w:rFonts w:ascii="Perpetua" w:hAnsi="Perpetua" w:cs="Segoe UI"/>
                <w:color w:val="333333"/>
              </w:rPr>
            </w:pPr>
          </w:p>
        </w:tc>
      </w:tr>
      <w:tr w:rsidR="0060354C" w:rsidRPr="00A262E4" w14:paraId="17D93367" w14:textId="77777777" w:rsidTr="00C45EF0">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6EEAC683" w14:textId="77777777" w:rsidR="0060354C" w:rsidRPr="00A262E4" w:rsidRDefault="0060354C" w:rsidP="0060354C">
            <w:pPr>
              <w:rPr>
                <w:rFonts w:ascii="Perpetua" w:hAnsi="Perpetua" w:cs="Arial"/>
                <w:color w:val="333333"/>
              </w:rPr>
            </w:pPr>
            <w:r w:rsidRPr="00A262E4">
              <w:rPr>
                <w:rFonts w:ascii="Perpetua" w:hAnsi="Perpetua" w:cs="Arial"/>
                <w:color w:val="333333"/>
              </w:rPr>
              <w:t>Vivo sin discapacidad</w:t>
            </w:r>
          </w:p>
        </w:tc>
        <w:tc>
          <w:tcPr>
            <w:tcW w:w="0" w:type="auto"/>
            <w:tcBorders>
              <w:top w:val="nil"/>
              <w:left w:val="nil"/>
              <w:bottom w:val="nil"/>
              <w:right w:val="nil"/>
            </w:tcBorders>
            <w:tcMar>
              <w:top w:w="30" w:type="dxa"/>
              <w:left w:w="30" w:type="dxa"/>
              <w:bottom w:w="30" w:type="dxa"/>
              <w:right w:w="120" w:type="dxa"/>
            </w:tcMar>
            <w:vAlign w:val="center"/>
            <w:hideMark/>
          </w:tcPr>
          <w:p w14:paraId="3FCE8EE5"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tcPr>
          <w:p w14:paraId="724CB20B"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30" w:type="dxa"/>
              <w:bottom w:w="30" w:type="dxa"/>
              <w:right w:w="120" w:type="dxa"/>
            </w:tcMar>
            <w:vAlign w:val="center"/>
          </w:tcPr>
          <w:p w14:paraId="03573B73"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44904A2C"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6</w:t>
            </w:r>
          </w:p>
        </w:tc>
        <w:tc>
          <w:tcPr>
            <w:tcW w:w="0" w:type="auto"/>
            <w:tcBorders>
              <w:top w:val="nil"/>
              <w:left w:val="nil"/>
              <w:bottom w:val="nil"/>
              <w:right w:val="nil"/>
            </w:tcBorders>
            <w:tcMar>
              <w:top w:w="30" w:type="dxa"/>
              <w:left w:w="30" w:type="dxa"/>
              <w:bottom w:w="30" w:type="dxa"/>
              <w:right w:w="120" w:type="dxa"/>
            </w:tcMar>
            <w:vAlign w:val="center"/>
            <w:hideMark/>
          </w:tcPr>
          <w:p w14:paraId="6E7A57F1"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668CB036"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10</w:t>
            </w:r>
          </w:p>
        </w:tc>
        <w:tc>
          <w:tcPr>
            <w:tcW w:w="0" w:type="auto"/>
            <w:tcBorders>
              <w:top w:val="nil"/>
              <w:left w:val="nil"/>
              <w:bottom w:val="nil"/>
              <w:right w:val="nil"/>
            </w:tcBorders>
            <w:tcMar>
              <w:top w:w="30" w:type="dxa"/>
              <w:left w:w="30" w:type="dxa"/>
              <w:bottom w:w="30" w:type="dxa"/>
              <w:right w:w="120" w:type="dxa"/>
            </w:tcMar>
            <w:vAlign w:val="center"/>
            <w:hideMark/>
          </w:tcPr>
          <w:p w14:paraId="3E50E49B"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405ED1BF"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16</w:t>
            </w:r>
          </w:p>
        </w:tc>
        <w:tc>
          <w:tcPr>
            <w:tcW w:w="0" w:type="auto"/>
            <w:tcBorders>
              <w:top w:val="nil"/>
              <w:left w:val="nil"/>
              <w:bottom w:val="nil"/>
              <w:right w:val="nil"/>
            </w:tcBorders>
            <w:tcMar>
              <w:top w:w="30" w:type="dxa"/>
              <w:left w:w="30" w:type="dxa"/>
              <w:bottom w:w="30" w:type="dxa"/>
              <w:right w:w="120" w:type="dxa"/>
            </w:tcMar>
            <w:vAlign w:val="center"/>
            <w:hideMark/>
          </w:tcPr>
          <w:p w14:paraId="10A15226" w14:textId="77777777" w:rsidR="0060354C" w:rsidRPr="00A262E4" w:rsidRDefault="0060354C" w:rsidP="0060354C">
            <w:pPr>
              <w:rPr>
                <w:rFonts w:ascii="Perpetua" w:hAnsi="Perpetua" w:cs="Segoe UI"/>
                <w:color w:val="333333"/>
              </w:rPr>
            </w:pPr>
          </w:p>
        </w:tc>
      </w:tr>
      <w:tr w:rsidR="0060354C" w:rsidRPr="00A262E4" w14:paraId="608FE653" w14:textId="77777777" w:rsidTr="00C45EF0">
        <w:trPr>
          <w:cantSplit/>
          <w:tblCellSpacing w:w="15" w:type="dxa"/>
        </w:trPr>
        <w:tc>
          <w:tcPr>
            <w:tcW w:w="0" w:type="auto"/>
            <w:gridSpan w:val="2"/>
            <w:tcBorders>
              <w:top w:val="nil"/>
              <w:left w:val="nil"/>
              <w:bottom w:val="nil"/>
              <w:right w:val="nil"/>
            </w:tcBorders>
            <w:vAlign w:val="center"/>
            <w:hideMark/>
          </w:tcPr>
          <w:p w14:paraId="0295C7B8" w14:textId="77777777" w:rsidR="0060354C" w:rsidRPr="00A262E4" w:rsidRDefault="0060354C" w:rsidP="0060354C">
            <w:pPr>
              <w:rPr>
                <w:rFonts w:ascii="Perpetua" w:hAnsi="Perpetua" w:cs="Arial"/>
                <w:color w:val="333333"/>
              </w:rPr>
            </w:pPr>
            <w:r w:rsidRPr="00A262E4">
              <w:rPr>
                <w:rFonts w:ascii="Perpetua" w:hAnsi="Perpetua" w:cs="Arial"/>
                <w:color w:val="333333"/>
              </w:rPr>
              <w:t> </w:t>
            </w:r>
          </w:p>
        </w:tc>
        <w:tc>
          <w:tcPr>
            <w:tcW w:w="0" w:type="auto"/>
            <w:tcBorders>
              <w:top w:val="nil"/>
              <w:left w:val="nil"/>
              <w:bottom w:val="nil"/>
              <w:right w:val="nil"/>
            </w:tcBorders>
            <w:tcMar>
              <w:top w:w="30" w:type="dxa"/>
              <w:left w:w="120" w:type="dxa"/>
              <w:bottom w:w="30" w:type="dxa"/>
              <w:right w:w="0" w:type="dxa"/>
            </w:tcMar>
            <w:vAlign w:val="center"/>
          </w:tcPr>
          <w:p w14:paraId="471B9464"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30" w:type="dxa"/>
              <w:bottom w:w="30" w:type="dxa"/>
              <w:right w:w="120" w:type="dxa"/>
            </w:tcMar>
            <w:vAlign w:val="center"/>
          </w:tcPr>
          <w:p w14:paraId="0818A32A"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34383CC7"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21.4</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6C8072CF"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16C16B35"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23.8</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153A9B69"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0468C5BE"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22.9</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4276BF26" w14:textId="77777777" w:rsidR="0060354C" w:rsidRPr="00A262E4" w:rsidRDefault="0060354C" w:rsidP="0060354C">
            <w:pPr>
              <w:rPr>
                <w:rFonts w:ascii="Perpetua" w:hAnsi="Perpetua" w:cs="Segoe UI"/>
                <w:color w:val="333333"/>
              </w:rPr>
            </w:pPr>
          </w:p>
        </w:tc>
      </w:tr>
      <w:tr w:rsidR="0060354C" w:rsidRPr="00A262E4" w14:paraId="0CBF1DDB" w14:textId="77777777" w:rsidTr="00C45EF0">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0B83EFF9" w14:textId="77777777" w:rsidR="0060354C" w:rsidRPr="00A262E4" w:rsidRDefault="0060354C" w:rsidP="0060354C">
            <w:pPr>
              <w:rPr>
                <w:rFonts w:ascii="Perpetua" w:hAnsi="Perpetua" w:cs="Arial"/>
                <w:color w:val="333333"/>
              </w:rPr>
            </w:pPr>
            <w:r w:rsidRPr="00A262E4">
              <w:rPr>
                <w:rFonts w:ascii="Perpetua" w:hAnsi="Perpetua" w:cs="Arial"/>
                <w:color w:val="333333"/>
              </w:rPr>
              <w:t>Vivo con discapacidad</w:t>
            </w:r>
          </w:p>
        </w:tc>
        <w:tc>
          <w:tcPr>
            <w:tcW w:w="0" w:type="auto"/>
            <w:tcBorders>
              <w:top w:val="nil"/>
              <w:left w:val="nil"/>
              <w:bottom w:val="nil"/>
              <w:right w:val="nil"/>
            </w:tcBorders>
            <w:tcMar>
              <w:top w:w="30" w:type="dxa"/>
              <w:left w:w="30" w:type="dxa"/>
              <w:bottom w:w="30" w:type="dxa"/>
              <w:right w:w="120" w:type="dxa"/>
            </w:tcMar>
            <w:vAlign w:val="center"/>
            <w:hideMark/>
          </w:tcPr>
          <w:p w14:paraId="5F99D38F"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tcPr>
          <w:p w14:paraId="2B560651"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30" w:type="dxa"/>
              <w:bottom w:w="30" w:type="dxa"/>
              <w:right w:w="120" w:type="dxa"/>
            </w:tcMar>
            <w:vAlign w:val="center"/>
          </w:tcPr>
          <w:p w14:paraId="1E3D2473"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2AAC0D25"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10</w:t>
            </w:r>
          </w:p>
        </w:tc>
        <w:tc>
          <w:tcPr>
            <w:tcW w:w="0" w:type="auto"/>
            <w:tcBorders>
              <w:top w:val="nil"/>
              <w:left w:val="nil"/>
              <w:bottom w:val="nil"/>
              <w:right w:val="nil"/>
            </w:tcBorders>
            <w:tcMar>
              <w:top w:w="30" w:type="dxa"/>
              <w:left w:w="30" w:type="dxa"/>
              <w:bottom w:w="30" w:type="dxa"/>
              <w:right w:w="120" w:type="dxa"/>
            </w:tcMar>
            <w:vAlign w:val="center"/>
            <w:hideMark/>
          </w:tcPr>
          <w:p w14:paraId="25811537"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6417B17A"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25</w:t>
            </w:r>
          </w:p>
        </w:tc>
        <w:tc>
          <w:tcPr>
            <w:tcW w:w="0" w:type="auto"/>
            <w:tcBorders>
              <w:top w:val="nil"/>
              <w:left w:val="nil"/>
              <w:bottom w:val="nil"/>
              <w:right w:val="nil"/>
            </w:tcBorders>
            <w:tcMar>
              <w:top w:w="30" w:type="dxa"/>
              <w:left w:w="30" w:type="dxa"/>
              <w:bottom w:w="30" w:type="dxa"/>
              <w:right w:w="120" w:type="dxa"/>
            </w:tcMar>
            <w:vAlign w:val="center"/>
            <w:hideMark/>
          </w:tcPr>
          <w:p w14:paraId="7C006EA2"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37A12A79"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35</w:t>
            </w:r>
          </w:p>
        </w:tc>
        <w:tc>
          <w:tcPr>
            <w:tcW w:w="0" w:type="auto"/>
            <w:tcBorders>
              <w:top w:val="nil"/>
              <w:left w:val="nil"/>
              <w:bottom w:val="nil"/>
              <w:right w:val="nil"/>
            </w:tcBorders>
            <w:tcMar>
              <w:top w:w="30" w:type="dxa"/>
              <w:left w:w="30" w:type="dxa"/>
              <w:bottom w:w="30" w:type="dxa"/>
              <w:right w:w="120" w:type="dxa"/>
            </w:tcMar>
            <w:vAlign w:val="center"/>
            <w:hideMark/>
          </w:tcPr>
          <w:p w14:paraId="3CE733E8" w14:textId="77777777" w:rsidR="0060354C" w:rsidRPr="00A262E4" w:rsidRDefault="0060354C" w:rsidP="0060354C">
            <w:pPr>
              <w:rPr>
                <w:rFonts w:ascii="Perpetua" w:hAnsi="Perpetua" w:cs="Segoe UI"/>
                <w:color w:val="333333"/>
              </w:rPr>
            </w:pPr>
          </w:p>
        </w:tc>
      </w:tr>
      <w:tr w:rsidR="0060354C" w:rsidRPr="00A262E4" w14:paraId="5D0B8410" w14:textId="77777777" w:rsidTr="00C45EF0">
        <w:trPr>
          <w:cantSplit/>
          <w:tblCellSpacing w:w="15" w:type="dxa"/>
        </w:trPr>
        <w:tc>
          <w:tcPr>
            <w:tcW w:w="0" w:type="auto"/>
            <w:gridSpan w:val="2"/>
            <w:tcBorders>
              <w:top w:val="nil"/>
              <w:left w:val="nil"/>
              <w:bottom w:val="nil"/>
              <w:right w:val="nil"/>
            </w:tcBorders>
            <w:vAlign w:val="center"/>
            <w:hideMark/>
          </w:tcPr>
          <w:p w14:paraId="1AE9147B" w14:textId="77777777" w:rsidR="0060354C" w:rsidRPr="00A262E4" w:rsidRDefault="0060354C" w:rsidP="0060354C">
            <w:pPr>
              <w:rPr>
                <w:rFonts w:ascii="Perpetua" w:hAnsi="Perpetua" w:cs="Arial"/>
                <w:color w:val="333333"/>
              </w:rPr>
            </w:pPr>
            <w:r w:rsidRPr="00A262E4">
              <w:rPr>
                <w:rFonts w:ascii="Perpetua" w:hAnsi="Perpetua" w:cs="Arial"/>
                <w:color w:val="333333"/>
              </w:rPr>
              <w:t> </w:t>
            </w:r>
          </w:p>
        </w:tc>
        <w:tc>
          <w:tcPr>
            <w:tcW w:w="0" w:type="auto"/>
            <w:tcBorders>
              <w:top w:val="nil"/>
              <w:left w:val="nil"/>
              <w:bottom w:val="nil"/>
              <w:right w:val="nil"/>
            </w:tcBorders>
            <w:tcMar>
              <w:top w:w="30" w:type="dxa"/>
              <w:left w:w="120" w:type="dxa"/>
              <w:bottom w:w="30" w:type="dxa"/>
              <w:right w:w="0" w:type="dxa"/>
            </w:tcMar>
            <w:vAlign w:val="center"/>
          </w:tcPr>
          <w:p w14:paraId="7AC375D1"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30" w:type="dxa"/>
              <w:bottom w:w="30" w:type="dxa"/>
              <w:right w:w="120" w:type="dxa"/>
            </w:tcMar>
            <w:vAlign w:val="center"/>
          </w:tcPr>
          <w:p w14:paraId="378BC98A"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08BF7B4B"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35.7</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34E99CA7"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012B732F"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59.5</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7AEE949B"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2DC809E7"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50.0</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6E30B137" w14:textId="77777777" w:rsidR="0060354C" w:rsidRPr="00A262E4" w:rsidRDefault="0060354C" w:rsidP="0060354C">
            <w:pPr>
              <w:rPr>
                <w:rFonts w:ascii="Perpetua" w:hAnsi="Perpetua" w:cs="Segoe UI"/>
                <w:color w:val="333333"/>
              </w:rPr>
            </w:pPr>
          </w:p>
        </w:tc>
      </w:tr>
      <w:tr w:rsidR="0060354C" w:rsidRPr="00A262E4" w14:paraId="1F3C9128" w14:textId="77777777" w:rsidTr="00C45EF0">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1DD64809" w14:textId="77777777" w:rsidR="0060354C" w:rsidRPr="00A262E4" w:rsidRDefault="0060354C" w:rsidP="0060354C">
            <w:pPr>
              <w:rPr>
                <w:rFonts w:ascii="Perpetua" w:hAnsi="Perpetua" w:cs="Arial"/>
                <w:color w:val="333333"/>
              </w:rPr>
            </w:pPr>
            <w:r w:rsidRPr="00A262E4">
              <w:rPr>
                <w:rFonts w:ascii="Perpetua" w:hAnsi="Perpetua" w:cs="Arial"/>
                <w:color w:val="333333"/>
              </w:rPr>
              <w:t>Total</w:t>
            </w:r>
          </w:p>
        </w:tc>
        <w:tc>
          <w:tcPr>
            <w:tcW w:w="0" w:type="auto"/>
            <w:tcBorders>
              <w:top w:val="nil"/>
              <w:left w:val="nil"/>
              <w:bottom w:val="nil"/>
              <w:right w:val="nil"/>
            </w:tcBorders>
            <w:tcMar>
              <w:top w:w="30" w:type="dxa"/>
              <w:left w:w="30" w:type="dxa"/>
              <w:bottom w:w="30" w:type="dxa"/>
              <w:right w:w="120" w:type="dxa"/>
            </w:tcMar>
            <w:vAlign w:val="center"/>
            <w:hideMark/>
          </w:tcPr>
          <w:p w14:paraId="40963C2A"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tcPr>
          <w:p w14:paraId="5E8EE841"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30" w:type="dxa"/>
              <w:bottom w:w="30" w:type="dxa"/>
              <w:right w:w="120" w:type="dxa"/>
            </w:tcMar>
            <w:vAlign w:val="center"/>
          </w:tcPr>
          <w:p w14:paraId="2B70ED04"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26417F68"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28</w:t>
            </w:r>
          </w:p>
        </w:tc>
        <w:tc>
          <w:tcPr>
            <w:tcW w:w="0" w:type="auto"/>
            <w:tcBorders>
              <w:top w:val="nil"/>
              <w:left w:val="nil"/>
              <w:bottom w:val="nil"/>
              <w:right w:val="nil"/>
            </w:tcBorders>
            <w:tcMar>
              <w:top w:w="30" w:type="dxa"/>
              <w:left w:w="30" w:type="dxa"/>
              <w:bottom w:w="30" w:type="dxa"/>
              <w:right w:w="120" w:type="dxa"/>
            </w:tcMar>
            <w:vAlign w:val="center"/>
            <w:hideMark/>
          </w:tcPr>
          <w:p w14:paraId="39C1812A"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4F84ED91"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42</w:t>
            </w:r>
          </w:p>
        </w:tc>
        <w:tc>
          <w:tcPr>
            <w:tcW w:w="0" w:type="auto"/>
            <w:tcBorders>
              <w:top w:val="nil"/>
              <w:left w:val="nil"/>
              <w:bottom w:val="nil"/>
              <w:right w:val="nil"/>
            </w:tcBorders>
            <w:tcMar>
              <w:top w:w="30" w:type="dxa"/>
              <w:left w:w="30" w:type="dxa"/>
              <w:bottom w:w="30" w:type="dxa"/>
              <w:right w:w="120" w:type="dxa"/>
            </w:tcMar>
            <w:vAlign w:val="center"/>
            <w:hideMark/>
          </w:tcPr>
          <w:p w14:paraId="399AAE31"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7E195175"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70</w:t>
            </w:r>
          </w:p>
        </w:tc>
        <w:tc>
          <w:tcPr>
            <w:tcW w:w="0" w:type="auto"/>
            <w:tcBorders>
              <w:top w:val="nil"/>
              <w:left w:val="nil"/>
              <w:bottom w:val="nil"/>
              <w:right w:val="nil"/>
            </w:tcBorders>
            <w:tcMar>
              <w:top w:w="30" w:type="dxa"/>
              <w:left w:w="30" w:type="dxa"/>
              <w:bottom w:w="30" w:type="dxa"/>
              <w:right w:w="120" w:type="dxa"/>
            </w:tcMar>
            <w:vAlign w:val="center"/>
            <w:hideMark/>
          </w:tcPr>
          <w:p w14:paraId="2C56F688" w14:textId="77777777" w:rsidR="0060354C" w:rsidRPr="00A262E4" w:rsidRDefault="0060354C" w:rsidP="0060354C">
            <w:pPr>
              <w:rPr>
                <w:rFonts w:ascii="Perpetua" w:hAnsi="Perpetua" w:cs="Segoe UI"/>
                <w:color w:val="333333"/>
              </w:rPr>
            </w:pPr>
          </w:p>
        </w:tc>
      </w:tr>
      <w:tr w:rsidR="0060354C" w:rsidRPr="00A262E4" w14:paraId="79C312EF" w14:textId="77777777" w:rsidTr="00C45EF0">
        <w:trPr>
          <w:cantSplit/>
          <w:tblCellSpacing w:w="15" w:type="dxa"/>
        </w:trPr>
        <w:tc>
          <w:tcPr>
            <w:tcW w:w="0" w:type="auto"/>
            <w:gridSpan w:val="2"/>
            <w:tcBorders>
              <w:top w:val="nil"/>
              <w:left w:val="nil"/>
              <w:bottom w:val="single" w:sz="12" w:space="0" w:color="333333"/>
              <w:right w:val="nil"/>
            </w:tcBorders>
            <w:tcMar>
              <w:top w:w="15" w:type="dxa"/>
              <w:left w:w="15" w:type="dxa"/>
              <w:bottom w:w="120" w:type="dxa"/>
              <w:right w:w="15" w:type="dxa"/>
            </w:tcMar>
            <w:vAlign w:val="center"/>
            <w:hideMark/>
          </w:tcPr>
          <w:p w14:paraId="71996586" w14:textId="77777777" w:rsidR="0060354C" w:rsidRPr="00A262E4" w:rsidRDefault="0060354C" w:rsidP="0060354C">
            <w:pPr>
              <w:rPr>
                <w:rFonts w:ascii="Perpetua" w:hAnsi="Perpetua" w:cs="Arial"/>
                <w:color w:val="333333"/>
              </w:rPr>
            </w:pPr>
            <w:r w:rsidRPr="00A262E4">
              <w:rPr>
                <w:rFonts w:ascii="Perpetua" w:hAnsi="Perpetua" w:cs="Arial"/>
                <w:color w:val="333333"/>
              </w:rPr>
              <w:t> </w:t>
            </w:r>
          </w:p>
        </w:tc>
        <w:tc>
          <w:tcPr>
            <w:tcW w:w="0" w:type="auto"/>
            <w:tcBorders>
              <w:top w:val="nil"/>
              <w:left w:val="nil"/>
              <w:bottom w:val="single" w:sz="12" w:space="0" w:color="333333"/>
              <w:right w:val="nil"/>
            </w:tcBorders>
            <w:tcMar>
              <w:top w:w="30" w:type="dxa"/>
              <w:left w:w="120" w:type="dxa"/>
              <w:bottom w:w="120" w:type="dxa"/>
              <w:right w:w="0" w:type="dxa"/>
            </w:tcMar>
            <w:vAlign w:val="center"/>
          </w:tcPr>
          <w:p w14:paraId="24D8B626" w14:textId="77777777" w:rsidR="0060354C" w:rsidRPr="00A262E4" w:rsidRDefault="0060354C" w:rsidP="0060354C">
            <w:pPr>
              <w:rPr>
                <w:rFonts w:ascii="Perpetua" w:hAnsi="Perpetua" w:cs="Arial"/>
                <w:color w:val="333333"/>
              </w:rPr>
            </w:pPr>
          </w:p>
        </w:tc>
        <w:tc>
          <w:tcPr>
            <w:tcW w:w="0" w:type="auto"/>
            <w:tcBorders>
              <w:top w:val="nil"/>
              <w:left w:val="nil"/>
              <w:bottom w:val="single" w:sz="12" w:space="0" w:color="333333"/>
              <w:right w:val="nil"/>
            </w:tcBorders>
            <w:tcMar>
              <w:top w:w="30" w:type="dxa"/>
              <w:left w:w="30" w:type="dxa"/>
              <w:bottom w:w="120" w:type="dxa"/>
              <w:right w:w="120" w:type="dxa"/>
            </w:tcMar>
            <w:vAlign w:val="center"/>
          </w:tcPr>
          <w:p w14:paraId="28D09C02" w14:textId="77777777" w:rsidR="0060354C" w:rsidRPr="00A262E4" w:rsidRDefault="0060354C" w:rsidP="0060354C">
            <w:pPr>
              <w:rPr>
                <w:rFonts w:ascii="Perpetua" w:hAnsi="Perpetua" w:cs="Arial"/>
                <w:color w:val="333333"/>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5FDC826"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100.0</w:t>
            </w:r>
            <w:r w:rsidRPr="00A262E4">
              <w:rPr>
                <w:color w:val="333333"/>
              </w:rPr>
              <w:t> </w:t>
            </w:r>
            <w:r w:rsidRPr="00A262E4">
              <w:rPr>
                <w:rFonts w:ascii="Perpetua" w:hAnsi="Perpetua" w:cs="Arial"/>
                <w:color w:val="333333"/>
              </w:rPr>
              <w:t>%</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3F44853" w14:textId="77777777" w:rsidR="0060354C" w:rsidRPr="00A262E4" w:rsidRDefault="0060354C" w:rsidP="0060354C">
            <w:pPr>
              <w:rPr>
                <w:rFonts w:ascii="Perpetua" w:hAnsi="Perpetua" w:cs="Arial"/>
                <w:color w:val="333333"/>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5D876EEB"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100.0</w:t>
            </w:r>
            <w:r w:rsidRPr="00A262E4">
              <w:rPr>
                <w:color w:val="333333"/>
              </w:rPr>
              <w:t> </w:t>
            </w:r>
            <w:r w:rsidRPr="00A262E4">
              <w:rPr>
                <w:rFonts w:ascii="Perpetua" w:hAnsi="Perpetua" w:cs="Arial"/>
                <w:color w:val="333333"/>
              </w:rPr>
              <w:t>%</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FB71440" w14:textId="77777777" w:rsidR="0060354C" w:rsidRPr="00A262E4" w:rsidRDefault="0060354C" w:rsidP="0060354C">
            <w:pPr>
              <w:rPr>
                <w:rFonts w:ascii="Perpetua" w:hAnsi="Perpetua" w:cs="Arial"/>
                <w:color w:val="333333"/>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1D909DCA"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100.0</w:t>
            </w:r>
            <w:r w:rsidRPr="00A262E4">
              <w:rPr>
                <w:color w:val="333333"/>
              </w:rPr>
              <w:t> </w:t>
            </w:r>
            <w:r w:rsidRPr="00A262E4">
              <w:rPr>
                <w:rFonts w:ascii="Perpetua" w:hAnsi="Perpetua" w:cs="Arial"/>
                <w:color w:val="333333"/>
              </w:rPr>
              <w:t>%</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0020D3F" w14:textId="77777777" w:rsidR="0060354C" w:rsidRPr="00A262E4" w:rsidRDefault="0060354C" w:rsidP="0060354C">
            <w:pPr>
              <w:rPr>
                <w:rFonts w:ascii="Perpetua" w:hAnsi="Perpetua" w:cs="Segoe UI"/>
                <w:color w:val="333333"/>
              </w:rPr>
            </w:pPr>
          </w:p>
        </w:tc>
      </w:tr>
      <w:tr w:rsidR="0060354C" w:rsidRPr="00A262E4" w14:paraId="454EC3CB" w14:textId="77777777" w:rsidTr="0060354C">
        <w:trPr>
          <w:cantSplit/>
          <w:tblCellSpacing w:w="15" w:type="dxa"/>
        </w:trPr>
        <w:tc>
          <w:tcPr>
            <w:tcW w:w="0" w:type="auto"/>
            <w:gridSpan w:val="10"/>
            <w:tcBorders>
              <w:top w:val="nil"/>
              <w:left w:val="nil"/>
              <w:bottom w:val="nil"/>
              <w:right w:val="nil"/>
            </w:tcBorders>
            <w:tcMar>
              <w:top w:w="90" w:type="dxa"/>
              <w:left w:w="120" w:type="dxa"/>
              <w:bottom w:w="30" w:type="dxa"/>
              <w:right w:w="120" w:type="dxa"/>
            </w:tcMar>
            <w:vAlign w:val="center"/>
            <w:hideMark/>
          </w:tcPr>
          <w:p w14:paraId="4BBA4DFD" w14:textId="77777777" w:rsidR="0060354C" w:rsidRPr="00A262E4" w:rsidRDefault="0060354C" w:rsidP="0060354C">
            <w:pPr>
              <w:rPr>
                <w:rFonts w:ascii="Perpetua" w:hAnsi="Perpetua" w:cs="Segoe UI"/>
                <w:color w:val="333333"/>
              </w:rPr>
            </w:pPr>
          </w:p>
        </w:tc>
      </w:tr>
    </w:tbl>
    <w:p w14:paraId="79BA1743" w14:textId="77777777" w:rsidR="00260B32" w:rsidRPr="00A262E4" w:rsidRDefault="00260B32" w:rsidP="00260B32">
      <w:pPr>
        <w:spacing w:before="100" w:beforeAutospacing="1" w:after="100" w:afterAutospacing="1"/>
        <w:rPr>
          <w:rFonts w:ascii="Perpetua" w:hAnsi="Perpetua" w:cs="Arial"/>
          <w:color w:val="333333"/>
        </w:rPr>
      </w:pPr>
      <w:r w:rsidRPr="00A262E4">
        <w:rPr>
          <w:rFonts w:ascii="Perpetua" w:hAnsi="Perpetua" w:cs="Arial"/>
          <w:color w:val="333333"/>
        </w:rPr>
        <w:t xml:space="preserve"> Fuente: Elaboración propia</w:t>
      </w:r>
      <w:r w:rsidR="00FA6649" w:rsidRPr="00A262E4">
        <w:rPr>
          <w:rFonts w:ascii="Perpetua" w:hAnsi="Perpetua" w:cs="Arial"/>
          <w:color w:val="333333"/>
        </w:rPr>
        <w:t>.</w:t>
      </w:r>
    </w:p>
    <w:p w14:paraId="731B6158" w14:textId="77777777" w:rsidR="00A13B63" w:rsidRPr="00A262E4" w:rsidRDefault="00A13B63" w:rsidP="00A13B63">
      <w:pPr>
        <w:spacing w:before="100" w:beforeAutospacing="1" w:after="100" w:afterAutospacing="1" w:line="360" w:lineRule="auto"/>
        <w:jc w:val="both"/>
        <w:rPr>
          <w:rFonts w:ascii="Perpetua" w:hAnsi="Perpetua" w:cs="Arial"/>
          <w:color w:val="333333"/>
          <w:vertAlign w:val="superscript"/>
        </w:rPr>
      </w:pPr>
      <w:r w:rsidRPr="00A262E4">
        <w:rPr>
          <w:rFonts w:ascii="Perpetua" w:hAnsi="Perpetua" w:cs="Arial"/>
          <w:color w:val="333333"/>
        </w:rPr>
        <w:t>Se reportaron diferencias estadísticamente significativas entre las proporciones de los niveles de las variables</w:t>
      </w:r>
      <w:r w:rsidR="00FD3D5C" w:rsidRPr="00A262E4">
        <w:rPr>
          <w:rFonts w:ascii="Perpetua" w:hAnsi="Perpetua" w:cs="Arial"/>
          <w:color w:val="333333"/>
        </w:rPr>
        <w:t xml:space="preserve"> condición al</w:t>
      </w:r>
      <w:r w:rsidRPr="00A262E4">
        <w:rPr>
          <w:rFonts w:ascii="Perpetua" w:hAnsi="Perpetua" w:cs="Arial"/>
          <w:color w:val="333333"/>
        </w:rPr>
        <w:t xml:space="preserve"> egreso y </w:t>
      </w:r>
      <w:r w:rsidR="00FD3D5C" w:rsidRPr="00A262E4">
        <w:rPr>
          <w:rFonts w:ascii="Perpetua" w:hAnsi="Perpetua" w:cs="Arial"/>
          <w:color w:val="333333"/>
        </w:rPr>
        <w:t xml:space="preserve">lesiones en TC </w:t>
      </w:r>
      <w:r w:rsidR="00DF67D0" w:rsidRPr="00A262E4">
        <w:rPr>
          <w:rFonts w:ascii="Perpetua" w:hAnsi="Perpetua" w:cs="Arial"/>
          <w:color w:val="333333"/>
        </w:rPr>
        <w:t>(X</w:t>
      </w:r>
      <w:r w:rsidR="00DF67D0" w:rsidRPr="00A262E4">
        <w:rPr>
          <w:rFonts w:ascii="Perpetua" w:hAnsi="Perpetua" w:cs="Arial"/>
          <w:color w:val="333333"/>
          <w:vertAlign w:val="superscript"/>
        </w:rPr>
        <w:t>2</w:t>
      </w:r>
      <w:r w:rsidR="00715CB9" w:rsidRPr="00A262E4">
        <w:rPr>
          <w:rFonts w:ascii="Perpetua" w:hAnsi="Perpetua" w:cs="Arial"/>
          <w:color w:val="333333"/>
        </w:rPr>
        <w:t>(8)</w:t>
      </w:r>
      <w:r w:rsidR="00405933" w:rsidRPr="00A262E4">
        <w:rPr>
          <w:rFonts w:ascii="Perpetua" w:hAnsi="Perpetua" w:cs="Arial"/>
          <w:color w:val="333333"/>
        </w:rPr>
        <w:t xml:space="preserve"> </w:t>
      </w:r>
      <w:r w:rsidR="00715CB9" w:rsidRPr="00A262E4">
        <w:rPr>
          <w:rFonts w:ascii="Perpetua" w:hAnsi="Perpetua" w:cs="Arial"/>
          <w:color w:val="333333"/>
        </w:rPr>
        <w:t>=</w:t>
      </w:r>
      <w:r w:rsidR="00405933" w:rsidRPr="00A262E4">
        <w:rPr>
          <w:rFonts w:ascii="Perpetua" w:hAnsi="Perpetua" w:cs="Arial"/>
          <w:color w:val="333333"/>
        </w:rPr>
        <w:t xml:space="preserve"> </w:t>
      </w:r>
      <w:r w:rsidR="00715CB9" w:rsidRPr="00A262E4">
        <w:rPr>
          <w:rFonts w:ascii="Perpetua" w:hAnsi="Perpetua" w:cs="Arial"/>
          <w:color w:val="333333"/>
        </w:rPr>
        <w:t>18,6</w:t>
      </w:r>
      <w:r w:rsidRPr="00A262E4">
        <w:rPr>
          <w:rFonts w:ascii="Perpetua" w:hAnsi="Perpetua" w:cs="Arial"/>
          <w:color w:val="333333"/>
        </w:rPr>
        <w:t>,</w:t>
      </w:r>
      <w:r w:rsidR="00405933" w:rsidRPr="00A262E4">
        <w:rPr>
          <w:rFonts w:ascii="Perpetua" w:hAnsi="Perpetua" w:cs="Arial"/>
          <w:color w:val="333333"/>
        </w:rPr>
        <w:t xml:space="preserve"> </w:t>
      </w:r>
      <w:r w:rsidRPr="00A262E4">
        <w:rPr>
          <w:rFonts w:ascii="Perpetua" w:hAnsi="Perpetua" w:cs="Arial"/>
          <w:i/>
          <w:color w:val="333333"/>
        </w:rPr>
        <w:t>p</w:t>
      </w:r>
      <w:r w:rsidR="00405933" w:rsidRPr="00A262E4">
        <w:rPr>
          <w:rFonts w:ascii="Perpetua" w:hAnsi="Perpetua" w:cs="Arial"/>
          <w:color w:val="333333"/>
        </w:rPr>
        <w:t xml:space="preserve"> </w:t>
      </w:r>
      <w:r w:rsidRPr="00A262E4">
        <w:rPr>
          <w:rFonts w:ascii="Perpetua" w:hAnsi="Perpetua" w:cs="Arial"/>
          <w:color w:val="333333"/>
        </w:rPr>
        <w:t>&lt;</w:t>
      </w:r>
      <w:r w:rsidR="00405933" w:rsidRPr="00A262E4">
        <w:rPr>
          <w:rFonts w:ascii="Perpetua" w:hAnsi="Perpetua" w:cs="Arial"/>
          <w:color w:val="333333"/>
        </w:rPr>
        <w:t xml:space="preserve"> </w:t>
      </w:r>
      <w:r w:rsidR="00FD3D5C" w:rsidRPr="00A262E4">
        <w:rPr>
          <w:rFonts w:ascii="Perpetua" w:hAnsi="Perpetua" w:cs="Arial"/>
          <w:color w:val="333333"/>
        </w:rPr>
        <w:t>0,05).</w:t>
      </w:r>
      <w:r w:rsidR="00405933" w:rsidRPr="00A262E4">
        <w:rPr>
          <w:rFonts w:ascii="Perpetua" w:hAnsi="Perpetua" w:cs="Arial"/>
          <w:color w:val="333333"/>
        </w:rPr>
        <w:t xml:space="preserve"> </w:t>
      </w:r>
      <w:r w:rsidR="00DF67D0" w:rsidRPr="00A262E4">
        <w:rPr>
          <w:rFonts w:ascii="Perpetua" w:hAnsi="Perpetua" w:cs="Arial"/>
          <w:color w:val="333333"/>
        </w:rPr>
        <w:t xml:space="preserve">Entre los 13 pacientes con lesión </w:t>
      </w:r>
      <w:proofErr w:type="spellStart"/>
      <w:r w:rsidR="00DF67D0" w:rsidRPr="00A262E4">
        <w:rPr>
          <w:rFonts w:ascii="Perpetua" w:hAnsi="Perpetua" w:cs="Arial"/>
          <w:color w:val="333333"/>
        </w:rPr>
        <w:t>cerebelosa</w:t>
      </w:r>
      <w:r w:rsidR="00484A28" w:rsidRPr="00A262E4">
        <w:rPr>
          <w:rFonts w:ascii="Perpetua" w:hAnsi="Perpetua" w:cs="Arial"/>
          <w:color w:val="333333"/>
        </w:rPr>
        <w:t>s</w:t>
      </w:r>
      <w:proofErr w:type="spellEnd"/>
      <w:r w:rsidR="00DF67D0" w:rsidRPr="00A262E4">
        <w:rPr>
          <w:rFonts w:ascii="Perpetua" w:hAnsi="Perpetua" w:cs="Arial"/>
          <w:color w:val="333333"/>
        </w:rPr>
        <w:t xml:space="preserve">, 7(53,8%) egresaron con discapacidad, mientras que el resto </w:t>
      </w:r>
      <w:r w:rsidR="0002422D" w:rsidRPr="00A262E4">
        <w:rPr>
          <w:rFonts w:ascii="Perpetua" w:hAnsi="Perpetua" w:cs="Arial"/>
          <w:color w:val="333333"/>
        </w:rPr>
        <w:t>falleció 6</w:t>
      </w:r>
      <w:r w:rsidR="00DF67D0" w:rsidRPr="00A262E4">
        <w:rPr>
          <w:rFonts w:ascii="Perpetua" w:hAnsi="Perpetua" w:cs="Arial"/>
          <w:color w:val="333333"/>
        </w:rPr>
        <w:t xml:space="preserve"> </w:t>
      </w:r>
      <w:r w:rsidR="0002422D" w:rsidRPr="00A262E4">
        <w:rPr>
          <w:rFonts w:ascii="Perpetua" w:hAnsi="Perpetua" w:cs="Arial"/>
          <w:color w:val="333333"/>
        </w:rPr>
        <w:t>(</w:t>
      </w:r>
      <w:r w:rsidR="00DF67D0" w:rsidRPr="00A262E4">
        <w:rPr>
          <w:rFonts w:ascii="Perpetua" w:hAnsi="Perpetua" w:cs="Arial"/>
          <w:color w:val="333333"/>
        </w:rPr>
        <w:t>46,2%).</w:t>
      </w:r>
      <w:r w:rsidR="003D0AE6" w:rsidRPr="00A262E4">
        <w:rPr>
          <w:rFonts w:ascii="Perpetua" w:hAnsi="Perpetua" w:cs="Arial"/>
          <w:color w:val="333333"/>
        </w:rPr>
        <w:t xml:space="preserve"> </w:t>
      </w:r>
      <w:r w:rsidR="00DF67D0" w:rsidRPr="00A262E4">
        <w:rPr>
          <w:rFonts w:ascii="Perpetua" w:hAnsi="Perpetua" w:cs="Arial"/>
          <w:color w:val="333333"/>
        </w:rPr>
        <w:t>Veinte pacientes presentaron lesión única subcortical en hemisferi</w:t>
      </w:r>
      <w:r w:rsidR="00006893" w:rsidRPr="00A262E4">
        <w:rPr>
          <w:rFonts w:ascii="Perpetua" w:hAnsi="Perpetua" w:cs="Arial"/>
          <w:color w:val="333333"/>
        </w:rPr>
        <w:t>o derecho, 10 de ellos</w:t>
      </w:r>
      <w:r w:rsidR="00405933" w:rsidRPr="00A262E4">
        <w:rPr>
          <w:rFonts w:ascii="Perpetua" w:hAnsi="Perpetua" w:cs="Arial"/>
          <w:color w:val="333333"/>
        </w:rPr>
        <w:t xml:space="preserve"> </w:t>
      </w:r>
      <w:r w:rsidR="00006893" w:rsidRPr="00A262E4">
        <w:rPr>
          <w:rFonts w:ascii="Perpetua" w:hAnsi="Perpetua" w:cs="Arial"/>
          <w:color w:val="333333"/>
        </w:rPr>
        <w:t>(50%) egresaron con discapacidad, 7</w:t>
      </w:r>
      <w:r w:rsidR="003D0AE6" w:rsidRPr="00A262E4">
        <w:rPr>
          <w:rFonts w:ascii="Perpetua" w:hAnsi="Perpetua" w:cs="Arial"/>
          <w:color w:val="333333"/>
        </w:rPr>
        <w:t xml:space="preserve"> </w:t>
      </w:r>
      <w:r w:rsidR="00006893" w:rsidRPr="00A262E4">
        <w:rPr>
          <w:rFonts w:ascii="Perpetua" w:hAnsi="Perpetua" w:cs="Arial"/>
          <w:color w:val="333333"/>
        </w:rPr>
        <w:t>(35%) sin discapacidad y 3</w:t>
      </w:r>
      <w:r w:rsidR="003D0AE6" w:rsidRPr="00A262E4">
        <w:rPr>
          <w:rFonts w:ascii="Perpetua" w:hAnsi="Perpetua" w:cs="Arial"/>
          <w:color w:val="333333"/>
        </w:rPr>
        <w:t xml:space="preserve"> </w:t>
      </w:r>
      <w:r w:rsidR="00006893" w:rsidRPr="00A262E4">
        <w:rPr>
          <w:rFonts w:ascii="Perpetua" w:hAnsi="Perpetua" w:cs="Arial"/>
          <w:color w:val="333333"/>
        </w:rPr>
        <w:t>(15%) fallecieron.</w:t>
      </w:r>
      <w:r w:rsidR="0088719D" w:rsidRPr="00A262E4">
        <w:rPr>
          <w:rFonts w:ascii="Perpetua" w:hAnsi="Perpetua" w:cs="Arial"/>
          <w:color w:val="333333"/>
        </w:rPr>
        <w:t xml:space="preserve"> </w:t>
      </w:r>
      <w:r w:rsidR="00006893" w:rsidRPr="00A262E4">
        <w:rPr>
          <w:rFonts w:ascii="Perpetua" w:hAnsi="Perpetua" w:cs="Arial"/>
          <w:color w:val="333333"/>
        </w:rPr>
        <w:t>Por otra parte</w:t>
      </w:r>
      <w:r w:rsidR="00484A28" w:rsidRPr="00A262E4">
        <w:rPr>
          <w:rFonts w:ascii="Perpetua" w:hAnsi="Perpetua" w:cs="Arial"/>
          <w:color w:val="333333"/>
        </w:rPr>
        <w:t>, 12 pacientes presentaron lesión</w:t>
      </w:r>
      <w:r w:rsidR="00006893" w:rsidRPr="00A262E4">
        <w:rPr>
          <w:rFonts w:ascii="Perpetua" w:hAnsi="Perpetua" w:cs="Arial"/>
          <w:color w:val="333333"/>
        </w:rPr>
        <w:t xml:space="preserve"> única subcortical en hemisferio izquierdo</w:t>
      </w:r>
      <w:r w:rsidR="0088719D" w:rsidRPr="00A262E4">
        <w:rPr>
          <w:rFonts w:ascii="Perpetua" w:hAnsi="Perpetua" w:cs="Arial"/>
          <w:color w:val="333333"/>
        </w:rPr>
        <w:t>, de los cuales el 50% egreso con discapacidad y el otro 50% sin discapacidad, no reportándose fallecidos.</w:t>
      </w:r>
      <w:r w:rsidR="00170472" w:rsidRPr="00A262E4">
        <w:rPr>
          <w:rFonts w:ascii="Perpetua" w:hAnsi="Perpetua" w:cs="Arial"/>
          <w:color w:val="333333"/>
        </w:rPr>
        <w:t xml:space="preserve"> Finalmente 10 personas presentaron múltiples lesiones en un hemisferio cerebral. Entre estas 6 personas egresaron con discapacidad (60%) y 4 (40%) fallecieron</w:t>
      </w:r>
      <w:r w:rsidR="00E46897" w:rsidRPr="00A262E4">
        <w:rPr>
          <w:rFonts w:ascii="Perpetua" w:hAnsi="Perpetua" w:cs="Arial"/>
          <w:color w:val="333333"/>
        </w:rPr>
        <w:t xml:space="preserve"> (Tabla 3)</w:t>
      </w:r>
      <w:r w:rsidR="00170472" w:rsidRPr="00A262E4">
        <w:rPr>
          <w:rFonts w:ascii="Perpetua" w:hAnsi="Perpetua" w:cs="Arial"/>
          <w:color w:val="333333"/>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4"/>
        <w:gridCol w:w="186"/>
        <w:gridCol w:w="156"/>
        <w:gridCol w:w="186"/>
        <w:gridCol w:w="993"/>
        <w:gridCol w:w="205"/>
        <w:gridCol w:w="1653"/>
        <w:gridCol w:w="324"/>
        <w:gridCol w:w="1683"/>
        <w:gridCol w:w="330"/>
        <w:gridCol w:w="888"/>
        <w:gridCol w:w="201"/>
      </w:tblGrid>
      <w:tr w:rsidR="0060354C" w:rsidRPr="00A262E4" w14:paraId="4A9F9C14" w14:textId="77777777" w:rsidTr="00715CB9">
        <w:trPr>
          <w:tblCellSpacing w:w="15" w:type="dxa"/>
        </w:trPr>
        <w:tc>
          <w:tcPr>
            <w:tcW w:w="0" w:type="auto"/>
            <w:gridSpan w:val="12"/>
            <w:tcBorders>
              <w:top w:val="nil"/>
              <w:left w:val="nil"/>
              <w:bottom w:val="single" w:sz="6" w:space="0" w:color="333333"/>
              <w:right w:val="nil"/>
            </w:tcBorders>
            <w:tcMar>
              <w:top w:w="60" w:type="dxa"/>
              <w:left w:w="0" w:type="dxa"/>
              <w:bottom w:w="60" w:type="dxa"/>
              <w:right w:w="120" w:type="dxa"/>
            </w:tcMar>
            <w:vAlign w:val="center"/>
            <w:hideMark/>
          </w:tcPr>
          <w:p w14:paraId="7C725E7B" w14:textId="77777777" w:rsidR="0060354C" w:rsidRPr="00A262E4" w:rsidRDefault="00B869A4" w:rsidP="0060354C">
            <w:pPr>
              <w:rPr>
                <w:rFonts w:ascii="Perpetua" w:hAnsi="Perpetua" w:cs="Arial"/>
                <w:b/>
                <w:bCs/>
                <w:color w:val="333333"/>
              </w:rPr>
            </w:pPr>
            <w:r w:rsidRPr="00A262E4">
              <w:rPr>
                <w:rFonts w:ascii="Perpetua" w:hAnsi="Perpetua" w:cs="Arial"/>
                <w:color w:val="333333"/>
              </w:rPr>
              <w:lastRenderedPageBreak/>
              <w:t xml:space="preserve">Tabla 3. </w:t>
            </w:r>
            <w:r w:rsidR="00715CB9" w:rsidRPr="00A262E4">
              <w:rPr>
                <w:rFonts w:ascii="Perpetua" w:hAnsi="Perpetua" w:cs="Arial"/>
                <w:color w:val="333333"/>
              </w:rPr>
              <w:t>Asociación</w:t>
            </w:r>
            <w:r w:rsidRPr="00A262E4">
              <w:rPr>
                <w:rFonts w:ascii="Perpetua" w:hAnsi="Perpetua" w:cs="Arial"/>
                <w:color w:val="333333"/>
              </w:rPr>
              <w:t xml:space="preserve"> entre las lesiones en TC y condición al egreso</w:t>
            </w:r>
            <w:r w:rsidR="001D1B2B" w:rsidRPr="00A262E4">
              <w:rPr>
                <w:rFonts w:ascii="Perpetua" w:hAnsi="Perpetua" w:cs="Arial"/>
                <w:color w:val="333333"/>
              </w:rPr>
              <w:t>.</w:t>
            </w:r>
          </w:p>
        </w:tc>
      </w:tr>
      <w:tr w:rsidR="0060354C" w:rsidRPr="00A262E4" w14:paraId="170144A7" w14:textId="77777777" w:rsidTr="00715CB9">
        <w:trPr>
          <w:tblCellSpacing w:w="15" w:type="dxa"/>
        </w:trPr>
        <w:tc>
          <w:tcPr>
            <w:tcW w:w="0" w:type="auto"/>
            <w:gridSpan w:val="4"/>
            <w:tcBorders>
              <w:top w:val="nil"/>
              <w:left w:val="nil"/>
              <w:bottom w:val="nil"/>
              <w:right w:val="nil"/>
            </w:tcBorders>
            <w:tcMar>
              <w:top w:w="60" w:type="dxa"/>
              <w:left w:w="120" w:type="dxa"/>
              <w:bottom w:w="60" w:type="dxa"/>
              <w:right w:w="120" w:type="dxa"/>
            </w:tcMar>
            <w:vAlign w:val="center"/>
            <w:hideMark/>
          </w:tcPr>
          <w:p w14:paraId="68338DCB" w14:textId="77777777" w:rsidR="0060354C" w:rsidRPr="00A262E4" w:rsidRDefault="0060354C" w:rsidP="0060354C">
            <w:pPr>
              <w:jc w:val="center"/>
              <w:rPr>
                <w:rFonts w:ascii="Perpetua" w:hAnsi="Perpetua" w:cs="Arial"/>
                <w:b/>
                <w:bCs/>
                <w:color w:val="333333"/>
              </w:rPr>
            </w:pPr>
          </w:p>
        </w:tc>
        <w:tc>
          <w:tcPr>
            <w:tcW w:w="0" w:type="auto"/>
            <w:gridSpan w:val="6"/>
            <w:tcBorders>
              <w:top w:val="nil"/>
              <w:left w:val="nil"/>
              <w:bottom w:val="single" w:sz="6" w:space="0" w:color="333333"/>
              <w:right w:val="nil"/>
            </w:tcBorders>
            <w:tcMar>
              <w:top w:w="60" w:type="dxa"/>
              <w:left w:w="120" w:type="dxa"/>
              <w:bottom w:w="60" w:type="dxa"/>
              <w:right w:w="120" w:type="dxa"/>
            </w:tcMar>
            <w:vAlign w:val="center"/>
            <w:hideMark/>
          </w:tcPr>
          <w:p w14:paraId="1CD39F7B" w14:textId="77777777" w:rsidR="0060354C" w:rsidRPr="00A262E4" w:rsidRDefault="0060354C" w:rsidP="0060354C">
            <w:pPr>
              <w:jc w:val="center"/>
              <w:rPr>
                <w:rFonts w:ascii="Perpetua" w:hAnsi="Perpetua" w:cs="Arial"/>
                <w:b/>
                <w:bCs/>
                <w:color w:val="333333"/>
              </w:rPr>
            </w:pPr>
            <w:proofErr w:type="spellStart"/>
            <w:r w:rsidRPr="00A262E4">
              <w:rPr>
                <w:rFonts w:ascii="Perpetua" w:hAnsi="Perpetua" w:cs="Arial"/>
                <w:b/>
                <w:bCs/>
                <w:color w:val="333333"/>
              </w:rPr>
              <w:t>Condiciòn</w:t>
            </w:r>
            <w:proofErr w:type="spellEnd"/>
            <w:r w:rsidRPr="00A262E4">
              <w:rPr>
                <w:rFonts w:ascii="Perpetua" w:hAnsi="Perpetua" w:cs="Arial"/>
                <w:b/>
                <w:bCs/>
                <w:color w:val="333333"/>
              </w:rPr>
              <w:t xml:space="preserve"> al egreso</w:t>
            </w:r>
          </w:p>
        </w:tc>
        <w:tc>
          <w:tcPr>
            <w:tcW w:w="0" w:type="auto"/>
            <w:gridSpan w:val="2"/>
            <w:tcBorders>
              <w:top w:val="nil"/>
              <w:left w:val="nil"/>
              <w:bottom w:val="nil"/>
              <w:right w:val="nil"/>
            </w:tcBorders>
            <w:tcMar>
              <w:top w:w="60" w:type="dxa"/>
              <w:left w:w="120" w:type="dxa"/>
              <w:bottom w:w="60" w:type="dxa"/>
              <w:right w:w="120" w:type="dxa"/>
            </w:tcMar>
            <w:vAlign w:val="center"/>
            <w:hideMark/>
          </w:tcPr>
          <w:p w14:paraId="7D99F963" w14:textId="77777777" w:rsidR="0060354C" w:rsidRPr="00A262E4" w:rsidRDefault="0060354C" w:rsidP="0060354C">
            <w:pPr>
              <w:jc w:val="center"/>
              <w:rPr>
                <w:rFonts w:ascii="Perpetua" w:hAnsi="Perpetua" w:cs="Arial"/>
                <w:b/>
                <w:bCs/>
                <w:color w:val="333333"/>
              </w:rPr>
            </w:pPr>
          </w:p>
        </w:tc>
      </w:tr>
      <w:tr w:rsidR="0060354C" w:rsidRPr="00A262E4" w14:paraId="1969D8A0" w14:textId="77777777" w:rsidTr="00715CB9">
        <w:trP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6B36D8C" w14:textId="77777777" w:rsidR="0060354C" w:rsidRPr="00A262E4" w:rsidRDefault="00B869A4" w:rsidP="0060354C">
            <w:pPr>
              <w:jc w:val="center"/>
              <w:rPr>
                <w:rFonts w:ascii="Perpetua" w:hAnsi="Perpetua" w:cs="Arial"/>
                <w:b/>
                <w:bCs/>
                <w:color w:val="333333"/>
              </w:rPr>
            </w:pPr>
            <w:r w:rsidRPr="00A262E4">
              <w:rPr>
                <w:rFonts w:ascii="Perpetua" w:hAnsi="Perpetua" w:cs="Arial"/>
                <w:b/>
                <w:bCs/>
                <w:color w:val="333333"/>
              </w:rPr>
              <w:t>Lesiones en TC</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C7E5426" w14:textId="77777777" w:rsidR="0060354C" w:rsidRPr="00A262E4" w:rsidRDefault="0060354C" w:rsidP="0060354C">
            <w:pPr>
              <w:jc w:val="center"/>
              <w:rPr>
                <w:rFonts w:ascii="Perpetua" w:hAnsi="Perpetua" w:cs="Arial"/>
                <w:b/>
                <w:bCs/>
                <w:color w:val="333333"/>
              </w:rPr>
            </w:pPr>
            <w:r w:rsidRPr="00A262E4">
              <w:rPr>
                <w:rFonts w:ascii="Perpetua" w:hAnsi="Perpetua" w:cs="Arial"/>
                <w:b/>
                <w:bCs/>
                <w:color w:val="333333"/>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56F09CD" w14:textId="77777777" w:rsidR="0060354C" w:rsidRPr="00A262E4" w:rsidRDefault="0060354C" w:rsidP="0060354C">
            <w:pPr>
              <w:jc w:val="center"/>
              <w:rPr>
                <w:rFonts w:ascii="Perpetua" w:hAnsi="Perpetua" w:cs="Arial"/>
                <w:b/>
                <w:bCs/>
                <w:color w:val="333333"/>
              </w:rPr>
            </w:pPr>
            <w:r w:rsidRPr="00A262E4">
              <w:rPr>
                <w:rFonts w:ascii="Perpetua" w:hAnsi="Perpetua" w:cs="Arial"/>
                <w:b/>
                <w:bCs/>
                <w:color w:val="333333"/>
              </w:rPr>
              <w:t>Fallecido</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FD7C8B4" w14:textId="77777777" w:rsidR="0060354C" w:rsidRPr="00A262E4" w:rsidRDefault="0060354C" w:rsidP="0060354C">
            <w:pPr>
              <w:jc w:val="center"/>
              <w:rPr>
                <w:rFonts w:ascii="Perpetua" w:hAnsi="Perpetua" w:cs="Arial"/>
                <w:b/>
                <w:bCs/>
                <w:color w:val="333333"/>
              </w:rPr>
            </w:pPr>
            <w:r w:rsidRPr="00A262E4">
              <w:rPr>
                <w:rFonts w:ascii="Perpetua" w:hAnsi="Perpetua" w:cs="Arial"/>
                <w:b/>
                <w:bCs/>
                <w:color w:val="333333"/>
              </w:rPr>
              <w:t>Vivo sin discapacidad</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43B62F5" w14:textId="77777777" w:rsidR="0060354C" w:rsidRPr="00A262E4" w:rsidRDefault="0060354C" w:rsidP="0060354C">
            <w:pPr>
              <w:jc w:val="center"/>
              <w:rPr>
                <w:rFonts w:ascii="Perpetua" w:hAnsi="Perpetua" w:cs="Arial"/>
                <w:b/>
                <w:bCs/>
                <w:color w:val="333333"/>
              </w:rPr>
            </w:pPr>
            <w:r w:rsidRPr="00A262E4">
              <w:rPr>
                <w:rFonts w:ascii="Perpetua" w:hAnsi="Perpetua" w:cs="Arial"/>
                <w:b/>
                <w:bCs/>
                <w:color w:val="333333"/>
              </w:rPr>
              <w:t>Vivo con discapacidad</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75500201" w14:textId="77777777" w:rsidR="0060354C" w:rsidRPr="00A262E4" w:rsidRDefault="0060354C" w:rsidP="0060354C">
            <w:pPr>
              <w:jc w:val="center"/>
              <w:rPr>
                <w:rFonts w:ascii="Perpetua" w:hAnsi="Perpetua" w:cs="Arial"/>
                <w:b/>
                <w:bCs/>
                <w:color w:val="333333"/>
              </w:rPr>
            </w:pPr>
            <w:r w:rsidRPr="00A262E4">
              <w:rPr>
                <w:rFonts w:ascii="Perpetua" w:hAnsi="Perpetua" w:cs="Arial"/>
                <w:b/>
                <w:bCs/>
                <w:color w:val="333333"/>
              </w:rPr>
              <w:t>Total</w:t>
            </w:r>
          </w:p>
        </w:tc>
      </w:tr>
      <w:tr w:rsidR="0060354C" w:rsidRPr="00A262E4" w14:paraId="57927790" w14:textId="77777777" w:rsidTr="00715CB9">
        <w:trPr>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0CA83A22" w14:textId="77777777" w:rsidR="0060354C" w:rsidRPr="00A262E4" w:rsidRDefault="0060354C" w:rsidP="0060354C">
            <w:pPr>
              <w:rPr>
                <w:rFonts w:ascii="Perpetua" w:hAnsi="Perpetua" w:cs="Arial"/>
                <w:color w:val="333333"/>
              </w:rPr>
            </w:pPr>
            <w:proofErr w:type="spellStart"/>
            <w:r w:rsidRPr="00A262E4">
              <w:rPr>
                <w:rFonts w:ascii="Perpetua" w:hAnsi="Perpetua" w:cs="Arial"/>
                <w:color w:val="333333"/>
              </w:rPr>
              <w:t>Cerebelosa</w:t>
            </w:r>
            <w:proofErr w:type="spellEnd"/>
          </w:p>
        </w:tc>
        <w:tc>
          <w:tcPr>
            <w:tcW w:w="0" w:type="auto"/>
            <w:tcBorders>
              <w:top w:val="nil"/>
              <w:left w:val="nil"/>
              <w:bottom w:val="nil"/>
              <w:right w:val="nil"/>
            </w:tcBorders>
            <w:tcMar>
              <w:top w:w="120" w:type="dxa"/>
              <w:left w:w="30" w:type="dxa"/>
              <w:bottom w:w="30" w:type="dxa"/>
              <w:right w:w="120" w:type="dxa"/>
            </w:tcMar>
            <w:vAlign w:val="center"/>
            <w:hideMark/>
          </w:tcPr>
          <w:p w14:paraId="2CCAF32F"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tcPr>
          <w:p w14:paraId="00E01AD5"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30" w:type="dxa"/>
              <w:bottom w:w="30" w:type="dxa"/>
              <w:right w:w="120" w:type="dxa"/>
            </w:tcMar>
            <w:vAlign w:val="center"/>
            <w:hideMark/>
          </w:tcPr>
          <w:p w14:paraId="30721F2B"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25227A88"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6</w:t>
            </w:r>
          </w:p>
        </w:tc>
        <w:tc>
          <w:tcPr>
            <w:tcW w:w="0" w:type="auto"/>
            <w:tcBorders>
              <w:top w:val="nil"/>
              <w:left w:val="nil"/>
              <w:bottom w:val="nil"/>
              <w:right w:val="nil"/>
            </w:tcBorders>
            <w:tcMar>
              <w:top w:w="120" w:type="dxa"/>
              <w:left w:w="30" w:type="dxa"/>
              <w:bottom w:w="30" w:type="dxa"/>
              <w:right w:w="120" w:type="dxa"/>
            </w:tcMar>
            <w:vAlign w:val="center"/>
            <w:hideMark/>
          </w:tcPr>
          <w:p w14:paraId="36C38471"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05BCBAC2"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0</w:t>
            </w:r>
          </w:p>
        </w:tc>
        <w:tc>
          <w:tcPr>
            <w:tcW w:w="0" w:type="auto"/>
            <w:tcBorders>
              <w:top w:val="nil"/>
              <w:left w:val="nil"/>
              <w:bottom w:val="nil"/>
              <w:right w:val="nil"/>
            </w:tcBorders>
            <w:tcMar>
              <w:top w:w="120" w:type="dxa"/>
              <w:left w:w="30" w:type="dxa"/>
              <w:bottom w:w="30" w:type="dxa"/>
              <w:right w:w="120" w:type="dxa"/>
            </w:tcMar>
            <w:vAlign w:val="center"/>
            <w:hideMark/>
          </w:tcPr>
          <w:p w14:paraId="34555C39"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49BFD5F1"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7</w:t>
            </w:r>
          </w:p>
        </w:tc>
        <w:tc>
          <w:tcPr>
            <w:tcW w:w="0" w:type="auto"/>
            <w:tcBorders>
              <w:top w:val="nil"/>
              <w:left w:val="nil"/>
              <w:bottom w:val="nil"/>
              <w:right w:val="nil"/>
            </w:tcBorders>
            <w:tcMar>
              <w:top w:w="120" w:type="dxa"/>
              <w:left w:w="30" w:type="dxa"/>
              <w:bottom w:w="30" w:type="dxa"/>
              <w:right w:w="120" w:type="dxa"/>
            </w:tcMar>
            <w:vAlign w:val="center"/>
            <w:hideMark/>
          </w:tcPr>
          <w:p w14:paraId="5F7F5338"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32A86EED"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13</w:t>
            </w:r>
          </w:p>
        </w:tc>
        <w:tc>
          <w:tcPr>
            <w:tcW w:w="0" w:type="auto"/>
            <w:tcBorders>
              <w:top w:val="nil"/>
              <w:left w:val="nil"/>
              <w:bottom w:val="nil"/>
              <w:right w:val="nil"/>
            </w:tcBorders>
            <w:tcMar>
              <w:top w:w="120" w:type="dxa"/>
              <w:left w:w="30" w:type="dxa"/>
              <w:bottom w:w="30" w:type="dxa"/>
              <w:right w:w="120" w:type="dxa"/>
            </w:tcMar>
            <w:vAlign w:val="center"/>
            <w:hideMark/>
          </w:tcPr>
          <w:p w14:paraId="02B43CF0" w14:textId="77777777" w:rsidR="0060354C" w:rsidRPr="00A262E4" w:rsidRDefault="0060354C" w:rsidP="0060354C">
            <w:pPr>
              <w:rPr>
                <w:rFonts w:ascii="Perpetua" w:hAnsi="Perpetua" w:cs="Arial"/>
                <w:color w:val="333333"/>
              </w:rPr>
            </w:pPr>
          </w:p>
        </w:tc>
      </w:tr>
      <w:tr w:rsidR="0060354C" w:rsidRPr="00A262E4" w14:paraId="70AED17A" w14:textId="77777777" w:rsidTr="00715CB9">
        <w:trPr>
          <w:tblCellSpacing w:w="15" w:type="dxa"/>
        </w:trPr>
        <w:tc>
          <w:tcPr>
            <w:tcW w:w="0" w:type="auto"/>
            <w:gridSpan w:val="2"/>
            <w:tcBorders>
              <w:top w:val="nil"/>
              <w:left w:val="nil"/>
              <w:bottom w:val="nil"/>
              <w:right w:val="nil"/>
            </w:tcBorders>
            <w:vAlign w:val="center"/>
            <w:hideMark/>
          </w:tcPr>
          <w:p w14:paraId="2901A7E2" w14:textId="77777777" w:rsidR="0060354C" w:rsidRPr="00A262E4" w:rsidRDefault="0060354C" w:rsidP="0060354C">
            <w:pPr>
              <w:rPr>
                <w:rFonts w:ascii="Perpetua" w:hAnsi="Perpetua" w:cs="Arial"/>
                <w:color w:val="333333"/>
              </w:rPr>
            </w:pPr>
            <w:r w:rsidRPr="00A262E4">
              <w:rPr>
                <w:rFonts w:ascii="Perpetua" w:hAnsi="Perpetua" w:cs="Arial"/>
                <w:color w:val="333333"/>
              </w:rPr>
              <w:t> </w:t>
            </w:r>
          </w:p>
        </w:tc>
        <w:tc>
          <w:tcPr>
            <w:tcW w:w="0" w:type="auto"/>
            <w:tcBorders>
              <w:top w:val="nil"/>
              <w:left w:val="nil"/>
              <w:bottom w:val="nil"/>
              <w:right w:val="nil"/>
            </w:tcBorders>
            <w:tcMar>
              <w:top w:w="30" w:type="dxa"/>
              <w:left w:w="120" w:type="dxa"/>
              <w:bottom w:w="30" w:type="dxa"/>
              <w:right w:w="0" w:type="dxa"/>
            </w:tcMar>
            <w:vAlign w:val="center"/>
          </w:tcPr>
          <w:p w14:paraId="3F92480B"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30" w:type="dxa"/>
              <w:bottom w:w="30" w:type="dxa"/>
              <w:right w:w="120" w:type="dxa"/>
            </w:tcMar>
            <w:vAlign w:val="center"/>
            <w:hideMark/>
          </w:tcPr>
          <w:p w14:paraId="69E297A6"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34E0AA59"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31.6</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29F3F984"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0FB806FC"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0.0</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21F0B6B5"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2A9E0A55"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20.0</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0BFF2AC9"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57191492"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18.6</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7836FDAD" w14:textId="77777777" w:rsidR="0060354C" w:rsidRPr="00A262E4" w:rsidRDefault="0060354C" w:rsidP="0060354C">
            <w:pPr>
              <w:rPr>
                <w:rFonts w:ascii="Perpetua" w:hAnsi="Perpetua" w:cs="Arial"/>
                <w:color w:val="333333"/>
              </w:rPr>
            </w:pPr>
          </w:p>
        </w:tc>
      </w:tr>
      <w:tr w:rsidR="0060354C" w:rsidRPr="00A262E4" w14:paraId="656BE732" w14:textId="77777777" w:rsidTr="00715CB9">
        <w:trPr>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7DA72A6E" w14:textId="77777777" w:rsidR="0060354C" w:rsidRPr="00A262E4" w:rsidRDefault="00715CB9" w:rsidP="0060354C">
            <w:pPr>
              <w:rPr>
                <w:rFonts w:ascii="Perpetua" w:hAnsi="Perpetua" w:cs="Arial"/>
                <w:color w:val="333333"/>
              </w:rPr>
            </w:pPr>
            <w:r w:rsidRPr="00A262E4">
              <w:rPr>
                <w:rFonts w:ascii="Perpetua" w:hAnsi="Perpetua" w:cs="Arial"/>
                <w:color w:val="333333"/>
              </w:rPr>
              <w:t>Única</w:t>
            </w:r>
            <w:r w:rsidR="0060354C" w:rsidRPr="00A262E4">
              <w:rPr>
                <w:rFonts w:ascii="Perpetua" w:hAnsi="Perpetua" w:cs="Arial"/>
                <w:color w:val="333333"/>
              </w:rPr>
              <w:t xml:space="preserve"> subcortical en hemisferio derecho</w:t>
            </w:r>
          </w:p>
        </w:tc>
        <w:tc>
          <w:tcPr>
            <w:tcW w:w="0" w:type="auto"/>
            <w:tcBorders>
              <w:top w:val="nil"/>
              <w:left w:val="nil"/>
              <w:bottom w:val="nil"/>
              <w:right w:val="nil"/>
            </w:tcBorders>
            <w:tcMar>
              <w:top w:w="30" w:type="dxa"/>
              <w:left w:w="30" w:type="dxa"/>
              <w:bottom w:w="30" w:type="dxa"/>
              <w:right w:w="120" w:type="dxa"/>
            </w:tcMar>
            <w:vAlign w:val="center"/>
            <w:hideMark/>
          </w:tcPr>
          <w:p w14:paraId="1113BA92"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tcPr>
          <w:p w14:paraId="3CE92936"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30" w:type="dxa"/>
              <w:bottom w:w="30" w:type="dxa"/>
              <w:right w:w="120" w:type="dxa"/>
            </w:tcMar>
            <w:vAlign w:val="center"/>
            <w:hideMark/>
          </w:tcPr>
          <w:p w14:paraId="57DEE2F8"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1CB62295"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3</w:t>
            </w:r>
          </w:p>
        </w:tc>
        <w:tc>
          <w:tcPr>
            <w:tcW w:w="0" w:type="auto"/>
            <w:tcBorders>
              <w:top w:val="nil"/>
              <w:left w:val="nil"/>
              <w:bottom w:val="nil"/>
              <w:right w:val="nil"/>
            </w:tcBorders>
            <w:tcMar>
              <w:top w:w="30" w:type="dxa"/>
              <w:left w:w="30" w:type="dxa"/>
              <w:bottom w:w="30" w:type="dxa"/>
              <w:right w:w="120" w:type="dxa"/>
            </w:tcMar>
            <w:vAlign w:val="center"/>
            <w:hideMark/>
          </w:tcPr>
          <w:p w14:paraId="1259637B"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0A4A25C0"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7</w:t>
            </w:r>
          </w:p>
        </w:tc>
        <w:tc>
          <w:tcPr>
            <w:tcW w:w="0" w:type="auto"/>
            <w:tcBorders>
              <w:top w:val="nil"/>
              <w:left w:val="nil"/>
              <w:bottom w:val="nil"/>
              <w:right w:val="nil"/>
            </w:tcBorders>
            <w:tcMar>
              <w:top w:w="30" w:type="dxa"/>
              <w:left w:w="30" w:type="dxa"/>
              <w:bottom w:w="30" w:type="dxa"/>
              <w:right w:w="120" w:type="dxa"/>
            </w:tcMar>
            <w:vAlign w:val="center"/>
            <w:hideMark/>
          </w:tcPr>
          <w:p w14:paraId="5996F5D7"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0F6210B3"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10</w:t>
            </w:r>
          </w:p>
        </w:tc>
        <w:tc>
          <w:tcPr>
            <w:tcW w:w="0" w:type="auto"/>
            <w:tcBorders>
              <w:top w:val="nil"/>
              <w:left w:val="nil"/>
              <w:bottom w:val="nil"/>
              <w:right w:val="nil"/>
            </w:tcBorders>
            <w:tcMar>
              <w:top w:w="30" w:type="dxa"/>
              <w:left w:w="30" w:type="dxa"/>
              <w:bottom w:w="30" w:type="dxa"/>
              <w:right w:w="120" w:type="dxa"/>
            </w:tcMar>
            <w:vAlign w:val="center"/>
            <w:hideMark/>
          </w:tcPr>
          <w:p w14:paraId="40276377"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421FAE29"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20</w:t>
            </w:r>
          </w:p>
        </w:tc>
        <w:tc>
          <w:tcPr>
            <w:tcW w:w="0" w:type="auto"/>
            <w:tcBorders>
              <w:top w:val="nil"/>
              <w:left w:val="nil"/>
              <w:bottom w:val="nil"/>
              <w:right w:val="nil"/>
            </w:tcBorders>
            <w:tcMar>
              <w:top w:w="30" w:type="dxa"/>
              <w:left w:w="30" w:type="dxa"/>
              <w:bottom w:w="30" w:type="dxa"/>
              <w:right w:w="120" w:type="dxa"/>
            </w:tcMar>
            <w:vAlign w:val="center"/>
            <w:hideMark/>
          </w:tcPr>
          <w:p w14:paraId="5469443E" w14:textId="77777777" w:rsidR="0060354C" w:rsidRPr="00A262E4" w:rsidRDefault="0060354C" w:rsidP="0060354C">
            <w:pPr>
              <w:rPr>
                <w:rFonts w:ascii="Perpetua" w:hAnsi="Perpetua" w:cs="Arial"/>
                <w:color w:val="333333"/>
              </w:rPr>
            </w:pPr>
          </w:p>
        </w:tc>
      </w:tr>
      <w:tr w:rsidR="0060354C" w:rsidRPr="00A262E4" w14:paraId="4BA8B47D" w14:textId="77777777" w:rsidTr="00715CB9">
        <w:trPr>
          <w:tblCellSpacing w:w="15" w:type="dxa"/>
        </w:trPr>
        <w:tc>
          <w:tcPr>
            <w:tcW w:w="0" w:type="auto"/>
            <w:gridSpan w:val="2"/>
            <w:tcBorders>
              <w:top w:val="nil"/>
              <w:left w:val="nil"/>
              <w:bottom w:val="nil"/>
              <w:right w:val="nil"/>
            </w:tcBorders>
            <w:vAlign w:val="center"/>
            <w:hideMark/>
          </w:tcPr>
          <w:p w14:paraId="77915FD9" w14:textId="77777777" w:rsidR="0060354C" w:rsidRPr="00A262E4" w:rsidRDefault="0060354C" w:rsidP="0060354C">
            <w:pPr>
              <w:rPr>
                <w:rFonts w:ascii="Perpetua" w:hAnsi="Perpetua" w:cs="Arial"/>
                <w:color w:val="333333"/>
              </w:rPr>
            </w:pPr>
            <w:r w:rsidRPr="00A262E4">
              <w:rPr>
                <w:rFonts w:ascii="Perpetua" w:hAnsi="Perpetua" w:cs="Arial"/>
                <w:color w:val="333333"/>
              </w:rPr>
              <w:t> </w:t>
            </w:r>
          </w:p>
        </w:tc>
        <w:tc>
          <w:tcPr>
            <w:tcW w:w="0" w:type="auto"/>
            <w:tcBorders>
              <w:top w:val="nil"/>
              <w:left w:val="nil"/>
              <w:bottom w:val="nil"/>
              <w:right w:val="nil"/>
            </w:tcBorders>
            <w:tcMar>
              <w:top w:w="30" w:type="dxa"/>
              <w:left w:w="120" w:type="dxa"/>
              <w:bottom w:w="30" w:type="dxa"/>
              <w:right w:w="0" w:type="dxa"/>
            </w:tcMar>
            <w:vAlign w:val="center"/>
          </w:tcPr>
          <w:p w14:paraId="1F16FD3F"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30" w:type="dxa"/>
              <w:bottom w:w="30" w:type="dxa"/>
              <w:right w:w="120" w:type="dxa"/>
            </w:tcMar>
            <w:vAlign w:val="center"/>
            <w:hideMark/>
          </w:tcPr>
          <w:p w14:paraId="4FFE25A3"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63F6D08E"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15.8</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0EABB879"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6CD0A81C"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43.8</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1BCE362E"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51014DDD"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28.6</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3A14F83E"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51843E03"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28.6</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594BCA9C" w14:textId="77777777" w:rsidR="0060354C" w:rsidRPr="00A262E4" w:rsidRDefault="0060354C" w:rsidP="0060354C">
            <w:pPr>
              <w:rPr>
                <w:rFonts w:ascii="Perpetua" w:hAnsi="Perpetua" w:cs="Arial"/>
                <w:color w:val="333333"/>
              </w:rPr>
            </w:pPr>
          </w:p>
        </w:tc>
      </w:tr>
      <w:tr w:rsidR="0060354C" w:rsidRPr="00A262E4" w14:paraId="0A7B565D" w14:textId="77777777" w:rsidTr="00715CB9">
        <w:trPr>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2220F5E1" w14:textId="77777777" w:rsidR="0060354C" w:rsidRPr="00A262E4" w:rsidRDefault="00715CB9" w:rsidP="0060354C">
            <w:pPr>
              <w:rPr>
                <w:rFonts w:ascii="Perpetua" w:hAnsi="Perpetua" w:cs="Arial"/>
                <w:color w:val="333333"/>
              </w:rPr>
            </w:pPr>
            <w:r w:rsidRPr="00A262E4">
              <w:rPr>
                <w:rFonts w:ascii="Perpetua" w:hAnsi="Perpetua" w:cs="Arial"/>
                <w:color w:val="333333"/>
              </w:rPr>
              <w:t>Única</w:t>
            </w:r>
            <w:r w:rsidR="0060354C" w:rsidRPr="00A262E4">
              <w:rPr>
                <w:rFonts w:ascii="Perpetua" w:hAnsi="Perpetua" w:cs="Arial"/>
                <w:color w:val="333333"/>
              </w:rPr>
              <w:t xml:space="preserve"> subcortical en hemisferio izquierdo</w:t>
            </w:r>
          </w:p>
        </w:tc>
        <w:tc>
          <w:tcPr>
            <w:tcW w:w="0" w:type="auto"/>
            <w:tcBorders>
              <w:top w:val="nil"/>
              <w:left w:val="nil"/>
              <w:bottom w:val="nil"/>
              <w:right w:val="nil"/>
            </w:tcBorders>
            <w:tcMar>
              <w:top w:w="30" w:type="dxa"/>
              <w:left w:w="30" w:type="dxa"/>
              <w:bottom w:w="30" w:type="dxa"/>
              <w:right w:w="120" w:type="dxa"/>
            </w:tcMar>
            <w:vAlign w:val="center"/>
            <w:hideMark/>
          </w:tcPr>
          <w:p w14:paraId="658583BD"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tcPr>
          <w:p w14:paraId="4E1BE30B"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30" w:type="dxa"/>
              <w:bottom w:w="30" w:type="dxa"/>
              <w:right w:w="120" w:type="dxa"/>
            </w:tcMar>
            <w:vAlign w:val="center"/>
            <w:hideMark/>
          </w:tcPr>
          <w:p w14:paraId="1EE200BA"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5F42B057"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0</w:t>
            </w:r>
          </w:p>
        </w:tc>
        <w:tc>
          <w:tcPr>
            <w:tcW w:w="0" w:type="auto"/>
            <w:tcBorders>
              <w:top w:val="nil"/>
              <w:left w:val="nil"/>
              <w:bottom w:val="nil"/>
              <w:right w:val="nil"/>
            </w:tcBorders>
            <w:tcMar>
              <w:top w:w="30" w:type="dxa"/>
              <w:left w:w="30" w:type="dxa"/>
              <w:bottom w:w="30" w:type="dxa"/>
              <w:right w:w="120" w:type="dxa"/>
            </w:tcMar>
            <w:vAlign w:val="center"/>
            <w:hideMark/>
          </w:tcPr>
          <w:p w14:paraId="1C73F278"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2729988C"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6</w:t>
            </w:r>
          </w:p>
        </w:tc>
        <w:tc>
          <w:tcPr>
            <w:tcW w:w="0" w:type="auto"/>
            <w:tcBorders>
              <w:top w:val="nil"/>
              <w:left w:val="nil"/>
              <w:bottom w:val="nil"/>
              <w:right w:val="nil"/>
            </w:tcBorders>
            <w:tcMar>
              <w:top w:w="30" w:type="dxa"/>
              <w:left w:w="30" w:type="dxa"/>
              <w:bottom w:w="30" w:type="dxa"/>
              <w:right w:w="120" w:type="dxa"/>
            </w:tcMar>
            <w:vAlign w:val="center"/>
            <w:hideMark/>
          </w:tcPr>
          <w:p w14:paraId="01CDFA1F"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560120C5"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6</w:t>
            </w:r>
          </w:p>
        </w:tc>
        <w:tc>
          <w:tcPr>
            <w:tcW w:w="0" w:type="auto"/>
            <w:tcBorders>
              <w:top w:val="nil"/>
              <w:left w:val="nil"/>
              <w:bottom w:val="nil"/>
              <w:right w:val="nil"/>
            </w:tcBorders>
            <w:tcMar>
              <w:top w:w="30" w:type="dxa"/>
              <w:left w:w="30" w:type="dxa"/>
              <w:bottom w:w="30" w:type="dxa"/>
              <w:right w:w="120" w:type="dxa"/>
            </w:tcMar>
            <w:vAlign w:val="center"/>
            <w:hideMark/>
          </w:tcPr>
          <w:p w14:paraId="0453178A"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02BAB7D1"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12</w:t>
            </w:r>
          </w:p>
        </w:tc>
        <w:tc>
          <w:tcPr>
            <w:tcW w:w="0" w:type="auto"/>
            <w:tcBorders>
              <w:top w:val="nil"/>
              <w:left w:val="nil"/>
              <w:bottom w:val="nil"/>
              <w:right w:val="nil"/>
            </w:tcBorders>
            <w:tcMar>
              <w:top w:w="30" w:type="dxa"/>
              <w:left w:w="30" w:type="dxa"/>
              <w:bottom w:w="30" w:type="dxa"/>
              <w:right w:w="120" w:type="dxa"/>
            </w:tcMar>
            <w:vAlign w:val="center"/>
            <w:hideMark/>
          </w:tcPr>
          <w:p w14:paraId="502A869F" w14:textId="77777777" w:rsidR="0060354C" w:rsidRPr="00A262E4" w:rsidRDefault="0060354C" w:rsidP="0060354C">
            <w:pPr>
              <w:rPr>
                <w:rFonts w:ascii="Perpetua" w:hAnsi="Perpetua" w:cs="Arial"/>
                <w:color w:val="333333"/>
              </w:rPr>
            </w:pPr>
          </w:p>
        </w:tc>
      </w:tr>
      <w:tr w:rsidR="0060354C" w:rsidRPr="00A262E4" w14:paraId="069037A1" w14:textId="77777777" w:rsidTr="00715CB9">
        <w:trPr>
          <w:tblCellSpacing w:w="15" w:type="dxa"/>
        </w:trPr>
        <w:tc>
          <w:tcPr>
            <w:tcW w:w="0" w:type="auto"/>
            <w:gridSpan w:val="2"/>
            <w:tcBorders>
              <w:top w:val="nil"/>
              <w:left w:val="nil"/>
              <w:bottom w:val="nil"/>
              <w:right w:val="nil"/>
            </w:tcBorders>
            <w:vAlign w:val="center"/>
            <w:hideMark/>
          </w:tcPr>
          <w:p w14:paraId="38ACD4AC" w14:textId="77777777" w:rsidR="0060354C" w:rsidRPr="00A262E4" w:rsidRDefault="0060354C" w:rsidP="0060354C">
            <w:pPr>
              <w:rPr>
                <w:rFonts w:ascii="Perpetua" w:hAnsi="Perpetua" w:cs="Arial"/>
                <w:color w:val="333333"/>
              </w:rPr>
            </w:pPr>
            <w:r w:rsidRPr="00A262E4">
              <w:rPr>
                <w:rFonts w:ascii="Perpetua" w:hAnsi="Perpetua" w:cs="Arial"/>
                <w:color w:val="333333"/>
              </w:rPr>
              <w:t> </w:t>
            </w:r>
          </w:p>
        </w:tc>
        <w:tc>
          <w:tcPr>
            <w:tcW w:w="0" w:type="auto"/>
            <w:tcBorders>
              <w:top w:val="nil"/>
              <w:left w:val="nil"/>
              <w:bottom w:val="nil"/>
              <w:right w:val="nil"/>
            </w:tcBorders>
            <w:tcMar>
              <w:top w:w="30" w:type="dxa"/>
              <w:left w:w="120" w:type="dxa"/>
              <w:bottom w:w="30" w:type="dxa"/>
              <w:right w:w="0" w:type="dxa"/>
            </w:tcMar>
            <w:vAlign w:val="center"/>
          </w:tcPr>
          <w:p w14:paraId="5967AEBD"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30" w:type="dxa"/>
              <w:bottom w:w="30" w:type="dxa"/>
              <w:right w:w="120" w:type="dxa"/>
            </w:tcMar>
            <w:vAlign w:val="center"/>
            <w:hideMark/>
          </w:tcPr>
          <w:p w14:paraId="79A763D8"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25AE57D9"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0.0</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2C6CD568"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6643CBBF"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37.5</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51EC5DD7"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73D8D9D1"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17.1</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61292986"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032AEA9A"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17.1</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2076BF28" w14:textId="77777777" w:rsidR="0060354C" w:rsidRPr="00A262E4" w:rsidRDefault="0060354C" w:rsidP="0060354C">
            <w:pPr>
              <w:rPr>
                <w:rFonts w:ascii="Perpetua" w:hAnsi="Perpetua" w:cs="Arial"/>
                <w:color w:val="333333"/>
              </w:rPr>
            </w:pPr>
          </w:p>
        </w:tc>
      </w:tr>
      <w:tr w:rsidR="0060354C" w:rsidRPr="00A262E4" w14:paraId="00F67CC9" w14:textId="77777777" w:rsidTr="00715CB9">
        <w:trPr>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65B2DAA7" w14:textId="77777777" w:rsidR="0060354C" w:rsidRPr="00A262E4" w:rsidRDefault="00715CB9" w:rsidP="0060354C">
            <w:pPr>
              <w:rPr>
                <w:rFonts w:ascii="Perpetua" w:hAnsi="Perpetua" w:cs="Arial"/>
                <w:color w:val="333333"/>
              </w:rPr>
            </w:pPr>
            <w:r w:rsidRPr="00A262E4">
              <w:rPr>
                <w:rFonts w:ascii="Perpetua" w:hAnsi="Perpetua" w:cs="Arial"/>
                <w:color w:val="333333"/>
              </w:rPr>
              <w:t>Múltiples</w:t>
            </w:r>
            <w:r w:rsidR="0060354C" w:rsidRPr="00A262E4">
              <w:rPr>
                <w:rFonts w:ascii="Perpetua" w:hAnsi="Perpetua" w:cs="Arial"/>
                <w:color w:val="333333"/>
              </w:rPr>
              <w:t xml:space="preserve"> en ambos hemisferios cerebrales</w:t>
            </w:r>
          </w:p>
        </w:tc>
        <w:tc>
          <w:tcPr>
            <w:tcW w:w="0" w:type="auto"/>
            <w:tcBorders>
              <w:top w:val="nil"/>
              <w:left w:val="nil"/>
              <w:bottom w:val="nil"/>
              <w:right w:val="nil"/>
            </w:tcBorders>
            <w:tcMar>
              <w:top w:w="30" w:type="dxa"/>
              <w:left w:w="30" w:type="dxa"/>
              <w:bottom w:w="30" w:type="dxa"/>
              <w:right w:w="120" w:type="dxa"/>
            </w:tcMar>
            <w:vAlign w:val="center"/>
            <w:hideMark/>
          </w:tcPr>
          <w:p w14:paraId="197B173B"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tcPr>
          <w:p w14:paraId="2236EEC1"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30" w:type="dxa"/>
              <w:bottom w:w="30" w:type="dxa"/>
              <w:right w:w="120" w:type="dxa"/>
            </w:tcMar>
            <w:vAlign w:val="center"/>
            <w:hideMark/>
          </w:tcPr>
          <w:p w14:paraId="30721E0F"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24F7E4EA"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6</w:t>
            </w:r>
          </w:p>
        </w:tc>
        <w:tc>
          <w:tcPr>
            <w:tcW w:w="0" w:type="auto"/>
            <w:tcBorders>
              <w:top w:val="nil"/>
              <w:left w:val="nil"/>
              <w:bottom w:val="nil"/>
              <w:right w:val="nil"/>
            </w:tcBorders>
            <w:tcMar>
              <w:top w:w="30" w:type="dxa"/>
              <w:left w:w="30" w:type="dxa"/>
              <w:bottom w:w="30" w:type="dxa"/>
              <w:right w:w="120" w:type="dxa"/>
            </w:tcMar>
            <w:vAlign w:val="center"/>
            <w:hideMark/>
          </w:tcPr>
          <w:p w14:paraId="5515B914"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3D6A0676"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3</w:t>
            </w:r>
          </w:p>
        </w:tc>
        <w:tc>
          <w:tcPr>
            <w:tcW w:w="0" w:type="auto"/>
            <w:tcBorders>
              <w:top w:val="nil"/>
              <w:left w:val="nil"/>
              <w:bottom w:val="nil"/>
              <w:right w:val="nil"/>
            </w:tcBorders>
            <w:tcMar>
              <w:top w:w="30" w:type="dxa"/>
              <w:left w:w="30" w:type="dxa"/>
              <w:bottom w:w="30" w:type="dxa"/>
              <w:right w:w="120" w:type="dxa"/>
            </w:tcMar>
            <w:vAlign w:val="center"/>
            <w:hideMark/>
          </w:tcPr>
          <w:p w14:paraId="2786C0AC"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779A5E39"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6</w:t>
            </w:r>
          </w:p>
        </w:tc>
        <w:tc>
          <w:tcPr>
            <w:tcW w:w="0" w:type="auto"/>
            <w:tcBorders>
              <w:top w:val="nil"/>
              <w:left w:val="nil"/>
              <w:bottom w:val="nil"/>
              <w:right w:val="nil"/>
            </w:tcBorders>
            <w:tcMar>
              <w:top w:w="30" w:type="dxa"/>
              <w:left w:w="30" w:type="dxa"/>
              <w:bottom w:w="30" w:type="dxa"/>
              <w:right w:w="120" w:type="dxa"/>
            </w:tcMar>
            <w:vAlign w:val="center"/>
            <w:hideMark/>
          </w:tcPr>
          <w:p w14:paraId="781DA571"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2460E041"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15</w:t>
            </w:r>
          </w:p>
        </w:tc>
        <w:tc>
          <w:tcPr>
            <w:tcW w:w="0" w:type="auto"/>
            <w:tcBorders>
              <w:top w:val="nil"/>
              <w:left w:val="nil"/>
              <w:bottom w:val="nil"/>
              <w:right w:val="nil"/>
            </w:tcBorders>
            <w:tcMar>
              <w:top w:w="30" w:type="dxa"/>
              <w:left w:w="30" w:type="dxa"/>
              <w:bottom w:w="30" w:type="dxa"/>
              <w:right w:w="120" w:type="dxa"/>
            </w:tcMar>
            <w:vAlign w:val="center"/>
            <w:hideMark/>
          </w:tcPr>
          <w:p w14:paraId="3387EF5C" w14:textId="77777777" w:rsidR="0060354C" w:rsidRPr="00A262E4" w:rsidRDefault="0060354C" w:rsidP="0060354C">
            <w:pPr>
              <w:rPr>
                <w:rFonts w:ascii="Perpetua" w:hAnsi="Perpetua" w:cs="Arial"/>
                <w:color w:val="333333"/>
              </w:rPr>
            </w:pPr>
          </w:p>
        </w:tc>
      </w:tr>
      <w:tr w:rsidR="0060354C" w:rsidRPr="00A262E4" w14:paraId="310F1D79" w14:textId="77777777" w:rsidTr="00715CB9">
        <w:trPr>
          <w:tblCellSpacing w:w="15" w:type="dxa"/>
        </w:trPr>
        <w:tc>
          <w:tcPr>
            <w:tcW w:w="0" w:type="auto"/>
            <w:gridSpan w:val="2"/>
            <w:tcBorders>
              <w:top w:val="nil"/>
              <w:left w:val="nil"/>
              <w:bottom w:val="nil"/>
              <w:right w:val="nil"/>
            </w:tcBorders>
            <w:vAlign w:val="center"/>
            <w:hideMark/>
          </w:tcPr>
          <w:p w14:paraId="0B1DCEC4" w14:textId="77777777" w:rsidR="0060354C" w:rsidRPr="00A262E4" w:rsidRDefault="0060354C" w:rsidP="0060354C">
            <w:pPr>
              <w:rPr>
                <w:rFonts w:ascii="Perpetua" w:hAnsi="Perpetua" w:cs="Arial"/>
                <w:color w:val="333333"/>
              </w:rPr>
            </w:pPr>
            <w:r w:rsidRPr="00A262E4">
              <w:rPr>
                <w:rFonts w:ascii="Perpetua" w:hAnsi="Perpetua" w:cs="Arial"/>
                <w:color w:val="333333"/>
              </w:rPr>
              <w:t> </w:t>
            </w:r>
          </w:p>
        </w:tc>
        <w:tc>
          <w:tcPr>
            <w:tcW w:w="0" w:type="auto"/>
            <w:tcBorders>
              <w:top w:val="nil"/>
              <w:left w:val="nil"/>
              <w:bottom w:val="nil"/>
              <w:right w:val="nil"/>
            </w:tcBorders>
            <w:tcMar>
              <w:top w:w="30" w:type="dxa"/>
              <w:left w:w="120" w:type="dxa"/>
              <w:bottom w:w="30" w:type="dxa"/>
              <w:right w:w="0" w:type="dxa"/>
            </w:tcMar>
            <w:vAlign w:val="center"/>
          </w:tcPr>
          <w:p w14:paraId="1191DAF9"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30" w:type="dxa"/>
              <w:bottom w:w="30" w:type="dxa"/>
              <w:right w:w="120" w:type="dxa"/>
            </w:tcMar>
            <w:vAlign w:val="center"/>
            <w:hideMark/>
          </w:tcPr>
          <w:p w14:paraId="238A300E"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07623DA7"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31.6</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5EE3E01C"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67196959"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18.8</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54EB7550"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6800732C"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17.1</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744F5B83"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2376AC73"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21.4</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1AC274FF" w14:textId="77777777" w:rsidR="0060354C" w:rsidRPr="00A262E4" w:rsidRDefault="0060354C" w:rsidP="0060354C">
            <w:pPr>
              <w:rPr>
                <w:rFonts w:ascii="Perpetua" w:hAnsi="Perpetua" w:cs="Arial"/>
                <w:color w:val="333333"/>
              </w:rPr>
            </w:pPr>
          </w:p>
        </w:tc>
      </w:tr>
      <w:tr w:rsidR="0060354C" w:rsidRPr="00A262E4" w14:paraId="74FBA988" w14:textId="77777777" w:rsidTr="00715CB9">
        <w:trPr>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2BEA85B2" w14:textId="77777777" w:rsidR="0060354C" w:rsidRPr="00A262E4" w:rsidRDefault="00715CB9" w:rsidP="0060354C">
            <w:pPr>
              <w:rPr>
                <w:rFonts w:ascii="Perpetua" w:hAnsi="Perpetua" w:cs="Arial"/>
                <w:color w:val="333333"/>
              </w:rPr>
            </w:pPr>
            <w:r w:rsidRPr="00A262E4">
              <w:rPr>
                <w:rFonts w:ascii="Perpetua" w:hAnsi="Perpetua" w:cs="Arial"/>
                <w:color w:val="333333"/>
              </w:rPr>
              <w:t>Múltiples</w:t>
            </w:r>
            <w:r w:rsidR="0060354C" w:rsidRPr="00A262E4">
              <w:rPr>
                <w:rFonts w:ascii="Perpetua" w:hAnsi="Perpetua" w:cs="Arial"/>
                <w:color w:val="333333"/>
              </w:rPr>
              <w:t xml:space="preserve"> en un hemisferio cerebral</w:t>
            </w:r>
          </w:p>
        </w:tc>
        <w:tc>
          <w:tcPr>
            <w:tcW w:w="0" w:type="auto"/>
            <w:tcBorders>
              <w:top w:val="nil"/>
              <w:left w:val="nil"/>
              <w:bottom w:val="nil"/>
              <w:right w:val="nil"/>
            </w:tcBorders>
            <w:tcMar>
              <w:top w:w="30" w:type="dxa"/>
              <w:left w:w="30" w:type="dxa"/>
              <w:bottom w:w="30" w:type="dxa"/>
              <w:right w:w="120" w:type="dxa"/>
            </w:tcMar>
            <w:vAlign w:val="center"/>
            <w:hideMark/>
          </w:tcPr>
          <w:p w14:paraId="5F17D63A"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tcPr>
          <w:p w14:paraId="308263BC"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30" w:type="dxa"/>
              <w:bottom w:w="30" w:type="dxa"/>
              <w:right w:w="120" w:type="dxa"/>
            </w:tcMar>
            <w:vAlign w:val="center"/>
            <w:hideMark/>
          </w:tcPr>
          <w:p w14:paraId="1538F605"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4542E5AC"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4</w:t>
            </w:r>
          </w:p>
        </w:tc>
        <w:tc>
          <w:tcPr>
            <w:tcW w:w="0" w:type="auto"/>
            <w:tcBorders>
              <w:top w:val="nil"/>
              <w:left w:val="nil"/>
              <w:bottom w:val="nil"/>
              <w:right w:val="nil"/>
            </w:tcBorders>
            <w:tcMar>
              <w:top w:w="30" w:type="dxa"/>
              <w:left w:w="30" w:type="dxa"/>
              <w:bottom w:w="30" w:type="dxa"/>
              <w:right w:w="120" w:type="dxa"/>
            </w:tcMar>
            <w:vAlign w:val="center"/>
            <w:hideMark/>
          </w:tcPr>
          <w:p w14:paraId="3271D8BE"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5494C205"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0</w:t>
            </w:r>
          </w:p>
        </w:tc>
        <w:tc>
          <w:tcPr>
            <w:tcW w:w="0" w:type="auto"/>
            <w:tcBorders>
              <w:top w:val="nil"/>
              <w:left w:val="nil"/>
              <w:bottom w:val="nil"/>
              <w:right w:val="nil"/>
            </w:tcBorders>
            <w:tcMar>
              <w:top w:w="30" w:type="dxa"/>
              <w:left w:w="30" w:type="dxa"/>
              <w:bottom w:w="30" w:type="dxa"/>
              <w:right w:w="120" w:type="dxa"/>
            </w:tcMar>
            <w:vAlign w:val="center"/>
            <w:hideMark/>
          </w:tcPr>
          <w:p w14:paraId="69E42137"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6FDB2E4B"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6</w:t>
            </w:r>
          </w:p>
        </w:tc>
        <w:tc>
          <w:tcPr>
            <w:tcW w:w="0" w:type="auto"/>
            <w:tcBorders>
              <w:top w:val="nil"/>
              <w:left w:val="nil"/>
              <w:bottom w:val="nil"/>
              <w:right w:val="nil"/>
            </w:tcBorders>
            <w:tcMar>
              <w:top w:w="30" w:type="dxa"/>
              <w:left w:w="30" w:type="dxa"/>
              <w:bottom w:w="30" w:type="dxa"/>
              <w:right w:w="120" w:type="dxa"/>
            </w:tcMar>
            <w:vAlign w:val="center"/>
            <w:hideMark/>
          </w:tcPr>
          <w:p w14:paraId="468BE1FD"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7F6992BA"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10</w:t>
            </w:r>
          </w:p>
        </w:tc>
        <w:tc>
          <w:tcPr>
            <w:tcW w:w="0" w:type="auto"/>
            <w:tcBorders>
              <w:top w:val="nil"/>
              <w:left w:val="nil"/>
              <w:bottom w:val="nil"/>
              <w:right w:val="nil"/>
            </w:tcBorders>
            <w:tcMar>
              <w:top w:w="30" w:type="dxa"/>
              <w:left w:w="30" w:type="dxa"/>
              <w:bottom w:w="30" w:type="dxa"/>
              <w:right w:w="120" w:type="dxa"/>
            </w:tcMar>
            <w:vAlign w:val="center"/>
            <w:hideMark/>
          </w:tcPr>
          <w:p w14:paraId="102EF863" w14:textId="77777777" w:rsidR="0060354C" w:rsidRPr="00A262E4" w:rsidRDefault="0060354C" w:rsidP="0060354C">
            <w:pPr>
              <w:rPr>
                <w:rFonts w:ascii="Perpetua" w:hAnsi="Perpetua" w:cs="Arial"/>
                <w:color w:val="333333"/>
              </w:rPr>
            </w:pPr>
          </w:p>
        </w:tc>
      </w:tr>
      <w:tr w:rsidR="0060354C" w:rsidRPr="00A262E4" w14:paraId="16FAE9D6" w14:textId="77777777" w:rsidTr="00715CB9">
        <w:trPr>
          <w:tblCellSpacing w:w="15" w:type="dxa"/>
        </w:trPr>
        <w:tc>
          <w:tcPr>
            <w:tcW w:w="0" w:type="auto"/>
            <w:gridSpan w:val="2"/>
            <w:tcBorders>
              <w:top w:val="nil"/>
              <w:left w:val="nil"/>
              <w:bottom w:val="nil"/>
              <w:right w:val="nil"/>
            </w:tcBorders>
            <w:vAlign w:val="center"/>
            <w:hideMark/>
          </w:tcPr>
          <w:p w14:paraId="75A3AFC1" w14:textId="77777777" w:rsidR="0060354C" w:rsidRPr="00A262E4" w:rsidRDefault="0060354C" w:rsidP="0060354C">
            <w:pPr>
              <w:rPr>
                <w:rFonts w:ascii="Perpetua" w:hAnsi="Perpetua" w:cs="Arial"/>
                <w:color w:val="333333"/>
              </w:rPr>
            </w:pPr>
            <w:r w:rsidRPr="00A262E4">
              <w:rPr>
                <w:rFonts w:ascii="Perpetua" w:hAnsi="Perpetua" w:cs="Arial"/>
                <w:color w:val="333333"/>
              </w:rPr>
              <w:t> </w:t>
            </w:r>
          </w:p>
        </w:tc>
        <w:tc>
          <w:tcPr>
            <w:tcW w:w="0" w:type="auto"/>
            <w:tcBorders>
              <w:top w:val="nil"/>
              <w:left w:val="nil"/>
              <w:bottom w:val="nil"/>
              <w:right w:val="nil"/>
            </w:tcBorders>
            <w:tcMar>
              <w:top w:w="30" w:type="dxa"/>
              <w:left w:w="120" w:type="dxa"/>
              <w:bottom w:w="30" w:type="dxa"/>
              <w:right w:w="0" w:type="dxa"/>
            </w:tcMar>
            <w:vAlign w:val="center"/>
          </w:tcPr>
          <w:p w14:paraId="239A67F1"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30" w:type="dxa"/>
              <w:bottom w:w="30" w:type="dxa"/>
              <w:right w:w="120" w:type="dxa"/>
            </w:tcMar>
            <w:vAlign w:val="center"/>
            <w:hideMark/>
          </w:tcPr>
          <w:p w14:paraId="75924085"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06C22276"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21.1</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60B0AAF5"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749B6BA4"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0.0</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097D6F56"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2C24FA5B"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17.1</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21A52CCF"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120" w:type="dxa"/>
              <w:bottom w:w="30" w:type="dxa"/>
              <w:right w:w="0" w:type="dxa"/>
            </w:tcMar>
            <w:vAlign w:val="center"/>
            <w:hideMark/>
          </w:tcPr>
          <w:p w14:paraId="58B4BA12"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14.3</w:t>
            </w:r>
            <w:r w:rsidRPr="00A262E4">
              <w:rPr>
                <w:color w:val="333333"/>
              </w:rPr>
              <w:t> </w:t>
            </w:r>
            <w:r w:rsidRPr="00A262E4">
              <w:rPr>
                <w:rFonts w:ascii="Perpetua" w:hAnsi="Perpetua" w:cs="Arial"/>
                <w:color w:val="333333"/>
              </w:rPr>
              <w:t>%</w:t>
            </w:r>
          </w:p>
        </w:tc>
        <w:tc>
          <w:tcPr>
            <w:tcW w:w="0" w:type="auto"/>
            <w:tcBorders>
              <w:top w:val="nil"/>
              <w:left w:val="nil"/>
              <w:bottom w:val="nil"/>
              <w:right w:val="nil"/>
            </w:tcBorders>
            <w:tcMar>
              <w:top w:w="30" w:type="dxa"/>
              <w:left w:w="30" w:type="dxa"/>
              <w:bottom w:w="30" w:type="dxa"/>
              <w:right w:w="120" w:type="dxa"/>
            </w:tcMar>
            <w:vAlign w:val="center"/>
            <w:hideMark/>
          </w:tcPr>
          <w:p w14:paraId="28531936" w14:textId="77777777" w:rsidR="0060354C" w:rsidRPr="00A262E4" w:rsidRDefault="0060354C" w:rsidP="0060354C">
            <w:pPr>
              <w:rPr>
                <w:rFonts w:ascii="Perpetua" w:hAnsi="Perpetua" w:cs="Arial"/>
                <w:color w:val="333333"/>
              </w:rPr>
            </w:pPr>
          </w:p>
        </w:tc>
      </w:tr>
      <w:tr w:rsidR="0060354C" w:rsidRPr="00A262E4" w14:paraId="046AF690" w14:textId="77777777" w:rsidTr="00715CB9">
        <w:trPr>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32E97994" w14:textId="77777777" w:rsidR="0060354C" w:rsidRPr="00A262E4" w:rsidRDefault="0060354C" w:rsidP="0060354C">
            <w:pPr>
              <w:rPr>
                <w:rFonts w:ascii="Perpetua" w:hAnsi="Perpetua" w:cs="Arial"/>
                <w:color w:val="333333"/>
              </w:rPr>
            </w:pPr>
            <w:r w:rsidRPr="00A262E4">
              <w:rPr>
                <w:rFonts w:ascii="Perpetua" w:hAnsi="Perpetua" w:cs="Arial"/>
                <w:color w:val="333333"/>
              </w:rPr>
              <w:t>Total</w:t>
            </w:r>
          </w:p>
        </w:tc>
        <w:tc>
          <w:tcPr>
            <w:tcW w:w="0" w:type="auto"/>
            <w:tcBorders>
              <w:top w:val="nil"/>
              <w:left w:val="nil"/>
              <w:bottom w:val="nil"/>
              <w:right w:val="nil"/>
            </w:tcBorders>
            <w:tcMar>
              <w:top w:w="30" w:type="dxa"/>
              <w:left w:w="30" w:type="dxa"/>
              <w:bottom w:w="30" w:type="dxa"/>
              <w:right w:w="120" w:type="dxa"/>
            </w:tcMar>
            <w:vAlign w:val="center"/>
            <w:hideMark/>
          </w:tcPr>
          <w:p w14:paraId="41E9FD81"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tcPr>
          <w:p w14:paraId="48AF166E"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30" w:type="dxa"/>
              <w:left w:w="30" w:type="dxa"/>
              <w:bottom w:w="30" w:type="dxa"/>
              <w:right w:w="120" w:type="dxa"/>
            </w:tcMar>
            <w:vAlign w:val="center"/>
            <w:hideMark/>
          </w:tcPr>
          <w:p w14:paraId="7FFC4842"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0C6D0510"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19</w:t>
            </w:r>
          </w:p>
        </w:tc>
        <w:tc>
          <w:tcPr>
            <w:tcW w:w="0" w:type="auto"/>
            <w:tcBorders>
              <w:top w:val="nil"/>
              <w:left w:val="nil"/>
              <w:bottom w:val="nil"/>
              <w:right w:val="nil"/>
            </w:tcBorders>
            <w:tcMar>
              <w:top w:w="30" w:type="dxa"/>
              <w:left w:w="30" w:type="dxa"/>
              <w:bottom w:w="30" w:type="dxa"/>
              <w:right w:w="120" w:type="dxa"/>
            </w:tcMar>
            <w:vAlign w:val="center"/>
            <w:hideMark/>
          </w:tcPr>
          <w:p w14:paraId="4D67FEAB"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29A1C761"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16</w:t>
            </w:r>
          </w:p>
        </w:tc>
        <w:tc>
          <w:tcPr>
            <w:tcW w:w="0" w:type="auto"/>
            <w:tcBorders>
              <w:top w:val="nil"/>
              <w:left w:val="nil"/>
              <w:bottom w:val="nil"/>
              <w:right w:val="nil"/>
            </w:tcBorders>
            <w:tcMar>
              <w:top w:w="30" w:type="dxa"/>
              <w:left w:w="30" w:type="dxa"/>
              <w:bottom w:w="30" w:type="dxa"/>
              <w:right w:w="120" w:type="dxa"/>
            </w:tcMar>
            <w:vAlign w:val="center"/>
            <w:hideMark/>
          </w:tcPr>
          <w:p w14:paraId="3E6AA53C"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1C51D633"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35</w:t>
            </w:r>
          </w:p>
        </w:tc>
        <w:tc>
          <w:tcPr>
            <w:tcW w:w="0" w:type="auto"/>
            <w:tcBorders>
              <w:top w:val="nil"/>
              <w:left w:val="nil"/>
              <w:bottom w:val="nil"/>
              <w:right w:val="nil"/>
            </w:tcBorders>
            <w:tcMar>
              <w:top w:w="30" w:type="dxa"/>
              <w:left w:w="30" w:type="dxa"/>
              <w:bottom w:w="30" w:type="dxa"/>
              <w:right w:w="120" w:type="dxa"/>
            </w:tcMar>
            <w:vAlign w:val="center"/>
            <w:hideMark/>
          </w:tcPr>
          <w:p w14:paraId="0A932F7B" w14:textId="77777777" w:rsidR="0060354C" w:rsidRPr="00A262E4" w:rsidRDefault="0060354C" w:rsidP="0060354C">
            <w:pPr>
              <w:rPr>
                <w:rFonts w:ascii="Perpetua" w:hAnsi="Perpetua" w:cs="Arial"/>
                <w:color w:val="333333"/>
              </w:rPr>
            </w:pPr>
          </w:p>
        </w:tc>
        <w:tc>
          <w:tcPr>
            <w:tcW w:w="0" w:type="auto"/>
            <w:tcBorders>
              <w:top w:val="nil"/>
              <w:left w:val="nil"/>
              <w:bottom w:val="nil"/>
              <w:right w:val="nil"/>
            </w:tcBorders>
            <w:tcMar>
              <w:top w:w="120" w:type="dxa"/>
              <w:left w:w="120" w:type="dxa"/>
              <w:bottom w:w="30" w:type="dxa"/>
              <w:right w:w="0" w:type="dxa"/>
            </w:tcMar>
            <w:vAlign w:val="center"/>
            <w:hideMark/>
          </w:tcPr>
          <w:p w14:paraId="4B914A10"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70</w:t>
            </w:r>
          </w:p>
        </w:tc>
        <w:tc>
          <w:tcPr>
            <w:tcW w:w="0" w:type="auto"/>
            <w:tcBorders>
              <w:top w:val="nil"/>
              <w:left w:val="nil"/>
              <w:bottom w:val="nil"/>
              <w:right w:val="nil"/>
            </w:tcBorders>
            <w:tcMar>
              <w:top w:w="30" w:type="dxa"/>
              <w:left w:w="30" w:type="dxa"/>
              <w:bottom w:w="30" w:type="dxa"/>
              <w:right w:w="120" w:type="dxa"/>
            </w:tcMar>
            <w:vAlign w:val="center"/>
            <w:hideMark/>
          </w:tcPr>
          <w:p w14:paraId="1FD3337D" w14:textId="77777777" w:rsidR="0060354C" w:rsidRPr="00A262E4" w:rsidRDefault="0060354C" w:rsidP="0060354C">
            <w:pPr>
              <w:rPr>
                <w:rFonts w:ascii="Perpetua" w:hAnsi="Perpetua" w:cs="Arial"/>
                <w:color w:val="333333"/>
              </w:rPr>
            </w:pPr>
          </w:p>
        </w:tc>
      </w:tr>
      <w:tr w:rsidR="0060354C" w:rsidRPr="00A262E4" w14:paraId="6AE632F7" w14:textId="77777777" w:rsidTr="00715CB9">
        <w:trPr>
          <w:tblCellSpacing w:w="15" w:type="dxa"/>
        </w:trPr>
        <w:tc>
          <w:tcPr>
            <w:tcW w:w="0" w:type="auto"/>
            <w:gridSpan w:val="2"/>
            <w:tcBorders>
              <w:top w:val="nil"/>
              <w:left w:val="nil"/>
              <w:bottom w:val="single" w:sz="12" w:space="0" w:color="333333"/>
              <w:right w:val="nil"/>
            </w:tcBorders>
            <w:tcMar>
              <w:top w:w="15" w:type="dxa"/>
              <w:left w:w="15" w:type="dxa"/>
              <w:bottom w:w="120" w:type="dxa"/>
              <w:right w:w="15" w:type="dxa"/>
            </w:tcMar>
            <w:vAlign w:val="center"/>
            <w:hideMark/>
          </w:tcPr>
          <w:p w14:paraId="1681B5FA" w14:textId="77777777" w:rsidR="0060354C" w:rsidRPr="00A262E4" w:rsidRDefault="0060354C" w:rsidP="0060354C">
            <w:pPr>
              <w:rPr>
                <w:rFonts w:ascii="Perpetua" w:hAnsi="Perpetua" w:cs="Arial"/>
                <w:color w:val="333333"/>
              </w:rPr>
            </w:pPr>
            <w:r w:rsidRPr="00A262E4">
              <w:rPr>
                <w:rFonts w:ascii="Perpetua" w:hAnsi="Perpetua" w:cs="Arial"/>
                <w:color w:val="333333"/>
              </w:rPr>
              <w:t> </w:t>
            </w:r>
          </w:p>
        </w:tc>
        <w:tc>
          <w:tcPr>
            <w:tcW w:w="0" w:type="auto"/>
            <w:tcBorders>
              <w:top w:val="nil"/>
              <w:left w:val="nil"/>
              <w:bottom w:val="single" w:sz="12" w:space="0" w:color="333333"/>
              <w:right w:val="nil"/>
            </w:tcBorders>
            <w:tcMar>
              <w:top w:w="30" w:type="dxa"/>
              <w:left w:w="120" w:type="dxa"/>
              <w:bottom w:w="120" w:type="dxa"/>
              <w:right w:w="0" w:type="dxa"/>
            </w:tcMar>
            <w:vAlign w:val="center"/>
          </w:tcPr>
          <w:p w14:paraId="092EEC20" w14:textId="77777777" w:rsidR="0060354C" w:rsidRPr="00A262E4" w:rsidRDefault="0060354C" w:rsidP="0060354C">
            <w:pPr>
              <w:rPr>
                <w:rFonts w:ascii="Perpetua" w:hAnsi="Perpetua" w:cs="Arial"/>
                <w:color w:val="333333"/>
              </w:rPr>
            </w:pP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82532DB" w14:textId="77777777" w:rsidR="0060354C" w:rsidRPr="00A262E4" w:rsidRDefault="0060354C" w:rsidP="0060354C">
            <w:pPr>
              <w:rPr>
                <w:rFonts w:ascii="Perpetua" w:hAnsi="Perpetua" w:cs="Arial"/>
                <w:color w:val="333333"/>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61CF457"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100.0</w:t>
            </w:r>
            <w:r w:rsidRPr="00A262E4">
              <w:rPr>
                <w:color w:val="333333"/>
              </w:rPr>
              <w:t> </w:t>
            </w:r>
            <w:r w:rsidRPr="00A262E4">
              <w:rPr>
                <w:rFonts w:ascii="Perpetua" w:hAnsi="Perpetua" w:cs="Arial"/>
                <w:color w:val="333333"/>
              </w:rPr>
              <w:t>%</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FD6A650" w14:textId="77777777" w:rsidR="0060354C" w:rsidRPr="00A262E4" w:rsidRDefault="0060354C" w:rsidP="0060354C">
            <w:pPr>
              <w:rPr>
                <w:rFonts w:ascii="Perpetua" w:hAnsi="Perpetua" w:cs="Arial"/>
                <w:color w:val="333333"/>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8B73CE0"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100.0</w:t>
            </w:r>
            <w:r w:rsidRPr="00A262E4">
              <w:rPr>
                <w:color w:val="333333"/>
              </w:rPr>
              <w:t> </w:t>
            </w:r>
            <w:r w:rsidRPr="00A262E4">
              <w:rPr>
                <w:rFonts w:ascii="Perpetua" w:hAnsi="Perpetua" w:cs="Arial"/>
                <w:color w:val="333333"/>
              </w:rPr>
              <w:t>%</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8A75A35" w14:textId="77777777" w:rsidR="0060354C" w:rsidRPr="00A262E4" w:rsidRDefault="0060354C" w:rsidP="0060354C">
            <w:pPr>
              <w:rPr>
                <w:rFonts w:ascii="Perpetua" w:hAnsi="Perpetua" w:cs="Arial"/>
                <w:color w:val="333333"/>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73C6E68"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100.0</w:t>
            </w:r>
            <w:r w:rsidRPr="00A262E4">
              <w:rPr>
                <w:color w:val="333333"/>
              </w:rPr>
              <w:t> </w:t>
            </w:r>
            <w:r w:rsidRPr="00A262E4">
              <w:rPr>
                <w:rFonts w:ascii="Perpetua" w:hAnsi="Perpetua" w:cs="Arial"/>
                <w:color w:val="333333"/>
              </w:rPr>
              <w:t>%</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4646CBE" w14:textId="77777777" w:rsidR="0060354C" w:rsidRPr="00A262E4" w:rsidRDefault="0060354C" w:rsidP="0060354C">
            <w:pPr>
              <w:rPr>
                <w:rFonts w:ascii="Perpetua" w:hAnsi="Perpetua" w:cs="Arial"/>
                <w:color w:val="333333"/>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BAC6A26" w14:textId="77777777" w:rsidR="0060354C" w:rsidRPr="00A262E4" w:rsidRDefault="0060354C" w:rsidP="0060354C">
            <w:pPr>
              <w:jc w:val="right"/>
              <w:rPr>
                <w:rFonts w:ascii="Perpetua" w:hAnsi="Perpetua" w:cs="Arial"/>
                <w:color w:val="333333"/>
              </w:rPr>
            </w:pPr>
            <w:r w:rsidRPr="00A262E4">
              <w:rPr>
                <w:rFonts w:ascii="Perpetua" w:hAnsi="Perpetua" w:cs="Arial"/>
                <w:color w:val="333333"/>
              </w:rPr>
              <w:t>100.0</w:t>
            </w:r>
            <w:r w:rsidRPr="00A262E4">
              <w:rPr>
                <w:color w:val="333333"/>
              </w:rPr>
              <w:t> </w:t>
            </w:r>
            <w:r w:rsidRPr="00A262E4">
              <w:rPr>
                <w:rFonts w:ascii="Perpetua" w:hAnsi="Perpetua" w:cs="Arial"/>
                <w:color w:val="333333"/>
              </w:rPr>
              <w:t>%</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0710553" w14:textId="77777777" w:rsidR="0060354C" w:rsidRPr="00A262E4" w:rsidRDefault="0060354C" w:rsidP="0060354C">
            <w:pPr>
              <w:rPr>
                <w:rFonts w:ascii="Perpetua" w:hAnsi="Perpetua" w:cs="Arial"/>
                <w:color w:val="333333"/>
              </w:rPr>
            </w:pPr>
          </w:p>
        </w:tc>
      </w:tr>
      <w:tr w:rsidR="0060354C" w:rsidRPr="00A262E4" w14:paraId="17F3A178" w14:textId="77777777" w:rsidTr="00715CB9">
        <w:trPr>
          <w:tblCellSpacing w:w="15" w:type="dxa"/>
        </w:trPr>
        <w:tc>
          <w:tcPr>
            <w:tcW w:w="0" w:type="auto"/>
            <w:gridSpan w:val="12"/>
            <w:tcBorders>
              <w:top w:val="nil"/>
              <w:left w:val="nil"/>
              <w:bottom w:val="nil"/>
              <w:right w:val="nil"/>
            </w:tcBorders>
            <w:tcMar>
              <w:top w:w="90" w:type="dxa"/>
              <w:left w:w="120" w:type="dxa"/>
              <w:bottom w:w="30" w:type="dxa"/>
              <w:right w:w="120" w:type="dxa"/>
            </w:tcMar>
            <w:vAlign w:val="center"/>
            <w:hideMark/>
          </w:tcPr>
          <w:p w14:paraId="1C3E2A90" w14:textId="77777777" w:rsidR="0060354C" w:rsidRPr="00A262E4" w:rsidRDefault="0060354C" w:rsidP="0060354C">
            <w:pPr>
              <w:rPr>
                <w:rFonts w:ascii="Perpetua" w:hAnsi="Perpetua" w:cs="Arial"/>
                <w:color w:val="333333"/>
              </w:rPr>
            </w:pPr>
          </w:p>
        </w:tc>
      </w:tr>
    </w:tbl>
    <w:p w14:paraId="7886332F" w14:textId="77777777" w:rsidR="0060354C" w:rsidRPr="00A262E4" w:rsidRDefault="0060354C" w:rsidP="0060354C">
      <w:pPr>
        <w:spacing w:before="100" w:beforeAutospacing="1" w:after="100" w:afterAutospacing="1"/>
        <w:rPr>
          <w:rFonts w:ascii="Perpetua" w:hAnsi="Perpetua" w:cs="Arial"/>
          <w:color w:val="333333"/>
        </w:rPr>
      </w:pPr>
      <w:r w:rsidRPr="00A262E4">
        <w:rPr>
          <w:rFonts w:ascii="Perpetua" w:hAnsi="Perpetua" w:cs="Segoe UI"/>
          <w:color w:val="333333"/>
        </w:rPr>
        <w:t> </w:t>
      </w:r>
      <w:r w:rsidR="00260B32" w:rsidRPr="00A262E4">
        <w:rPr>
          <w:rFonts w:ascii="Perpetua" w:hAnsi="Perpetua" w:cs="Arial"/>
          <w:color w:val="333333"/>
        </w:rPr>
        <w:t>Fuente: Elaboración propia</w:t>
      </w:r>
      <w:r w:rsidR="001D1B2B" w:rsidRPr="00A262E4">
        <w:rPr>
          <w:rFonts w:ascii="Perpetua" w:hAnsi="Perpetua" w:cs="Arial"/>
          <w:color w:val="333333"/>
        </w:rPr>
        <w:t>.</w:t>
      </w:r>
    </w:p>
    <w:p w14:paraId="4F6693ED" w14:textId="77777777" w:rsidR="000B2C8B" w:rsidRPr="00A262E4" w:rsidRDefault="00F44A90" w:rsidP="00F60237">
      <w:pPr>
        <w:spacing w:before="100" w:beforeAutospacing="1" w:after="100" w:afterAutospacing="1" w:line="360" w:lineRule="auto"/>
        <w:jc w:val="both"/>
        <w:rPr>
          <w:rFonts w:ascii="Perpetua" w:hAnsi="Perpetua" w:cs="Arial"/>
          <w:b/>
        </w:rPr>
      </w:pPr>
      <w:r w:rsidRPr="00A262E4">
        <w:rPr>
          <w:rFonts w:ascii="Perpetua" w:hAnsi="Perpetua" w:cs="Arial"/>
          <w:b/>
        </w:rPr>
        <w:t>DISCUSIÓN</w:t>
      </w:r>
    </w:p>
    <w:p w14:paraId="2D45BCB2" w14:textId="77777777" w:rsidR="00C634E4" w:rsidRPr="00A262E4" w:rsidRDefault="009706A6" w:rsidP="00BB7313">
      <w:pPr>
        <w:spacing w:line="360" w:lineRule="auto"/>
        <w:jc w:val="both"/>
        <w:rPr>
          <w:rFonts w:ascii="Perpetua" w:hAnsi="Perpetua" w:cs="Arial"/>
        </w:rPr>
      </w:pPr>
      <w:r w:rsidRPr="00A262E4">
        <w:rPr>
          <w:rFonts w:ascii="Perpetua" w:hAnsi="Perpetua" w:cs="Arial"/>
        </w:rPr>
        <w:t>L</w:t>
      </w:r>
      <w:r w:rsidR="00D41BE6" w:rsidRPr="00A262E4">
        <w:rPr>
          <w:rFonts w:ascii="Perpetua" w:hAnsi="Perpetua" w:cs="Arial"/>
        </w:rPr>
        <w:t>a edad</w:t>
      </w:r>
      <w:r w:rsidR="000338ED" w:rsidRPr="00A262E4">
        <w:rPr>
          <w:rFonts w:ascii="Perpetua" w:hAnsi="Perpetua" w:cs="Arial"/>
        </w:rPr>
        <w:t xml:space="preserve"> promedio de pacientes con </w:t>
      </w:r>
      <w:proofErr w:type="spellStart"/>
      <w:r w:rsidR="000338ED" w:rsidRPr="00A262E4">
        <w:rPr>
          <w:rFonts w:ascii="Perpetua" w:hAnsi="Perpetua" w:cs="Arial"/>
        </w:rPr>
        <w:t>neu</w:t>
      </w:r>
      <w:r w:rsidR="001712E2" w:rsidRPr="00A262E4">
        <w:rPr>
          <w:rFonts w:ascii="Perpetua" w:hAnsi="Perpetua" w:cs="Arial"/>
        </w:rPr>
        <w:t>rotoxoplasmosis</w:t>
      </w:r>
      <w:proofErr w:type="spellEnd"/>
      <w:r w:rsidR="001712E2" w:rsidRPr="00A262E4">
        <w:rPr>
          <w:rFonts w:ascii="Perpetua" w:hAnsi="Perpetua" w:cs="Arial"/>
        </w:rPr>
        <w:t xml:space="preserve"> </w:t>
      </w:r>
      <w:r w:rsidR="000338ED" w:rsidRPr="00A262E4">
        <w:rPr>
          <w:rFonts w:ascii="Perpetua" w:hAnsi="Perpetua" w:cs="Arial"/>
        </w:rPr>
        <w:t>en esta investigación</w:t>
      </w:r>
      <w:r w:rsidR="001712E2" w:rsidRPr="00A262E4">
        <w:rPr>
          <w:rFonts w:ascii="Perpetua" w:hAnsi="Perpetua" w:cs="Arial"/>
        </w:rPr>
        <w:t xml:space="preserve"> fue</w:t>
      </w:r>
      <w:r w:rsidRPr="00A262E4">
        <w:rPr>
          <w:rFonts w:ascii="Perpetua" w:hAnsi="Perpetua" w:cs="Arial"/>
        </w:rPr>
        <w:t xml:space="preserve"> </w:t>
      </w:r>
      <w:r w:rsidR="006C4988" w:rsidRPr="00A262E4">
        <w:rPr>
          <w:rFonts w:ascii="Perpetua" w:hAnsi="Perpetua" w:cs="Arial"/>
        </w:rPr>
        <w:t>38,</w:t>
      </w:r>
      <w:r w:rsidR="00557707" w:rsidRPr="00A262E4">
        <w:rPr>
          <w:rFonts w:ascii="Perpetua" w:hAnsi="Perpetua" w:cs="Arial"/>
        </w:rPr>
        <w:t>2 años</w:t>
      </w:r>
      <w:r w:rsidR="006C4988" w:rsidRPr="00A262E4">
        <w:rPr>
          <w:rFonts w:ascii="Perpetua" w:hAnsi="Perpetua" w:cs="Arial"/>
          <w:lang w:val="es-CR"/>
        </w:rPr>
        <w:t xml:space="preserve"> (DE= 9,66)</w:t>
      </w:r>
      <w:r w:rsidR="00557707" w:rsidRPr="00A262E4">
        <w:rPr>
          <w:rFonts w:ascii="Perpetua" w:hAnsi="Perpetua" w:cs="Arial"/>
        </w:rPr>
        <w:t>,</w:t>
      </w:r>
      <w:r w:rsidR="006C4988" w:rsidRPr="00A262E4">
        <w:rPr>
          <w:rFonts w:ascii="Perpetua" w:hAnsi="Perpetua" w:cs="Arial"/>
        </w:rPr>
        <w:t xml:space="preserve"> </w:t>
      </w:r>
      <w:r w:rsidR="00557707" w:rsidRPr="00A262E4">
        <w:rPr>
          <w:rFonts w:ascii="Perpetua" w:hAnsi="Perpetua" w:cs="Arial"/>
        </w:rPr>
        <w:t>resultado</w:t>
      </w:r>
      <w:r w:rsidR="00AD33CB" w:rsidRPr="00A262E4">
        <w:rPr>
          <w:rFonts w:ascii="Perpetua" w:hAnsi="Perpetua" w:cs="Arial"/>
        </w:rPr>
        <w:t xml:space="preserve"> similar</w:t>
      </w:r>
      <w:r w:rsidRPr="00A262E4">
        <w:rPr>
          <w:rFonts w:ascii="Perpetua" w:hAnsi="Perpetua" w:cs="Arial"/>
        </w:rPr>
        <w:t xml:space="preserve"> </w:t>
      </w:r>
      <w:r w:rsidR="00CC0928" w:rsidRPr="00A262E4">
        <w:rPr>
          <w:rFonts w:ascii="Perpetua" w:hAnsi="Perpetua" w:cs="Arial"/>
        </w:rPr>
        <w:t>reportaron</w:t>
      </w:r>
      <w:r w:rsidR="00AD33CB" w:rsidRPr="00A262E4">
        <w:rPr>
          <w:rFonts w:ascii="Perpetua" w:hAnsi="Perpetua" w:cs="Arial"/>
        </w:rPr>
        <w:t xml:space="preserve"> </w:t>
      </w:r>
      <w:proofErr w:type="spellStart"/>
      <w:r w:rsidR="00CA3EE2" w:rsidRPr="00A262E4">
        <w:rPr>
          <w:rFonts w:ascii="Perpetua" w:hAnsi="Perpetua" w:cs="Arial"/>
        </w:rPr>
        <w:t>Pinchi</w:t>
      </w:r>
      <w:proofErr w:type="spellEnd"/>
      <w:r w:rsidR="00CA3EE2" w:rsidRPr="00A262E4">
        <w:rPr>
          <w:rFonts w:ascii="Perpetua" w:hAnsi="Perpetua" w:cs="Arial"/>
        </w:rPr>
        <w:t xml:space="preserve"> </w:t>
      </w:r>
      <w:proofErr w:type="gramStart"/>
      <w:r w:rsidR="00CA3EE2" w:rsidRPr="00A262E4">
        <w:rPr>
          <w:rFonts w:ascii="Perpetua" w:hAnsi="Perpetua" w:cs="Arial"/>
        </w:rPr>
        <w:t>et al.</w:t>
      </w:r>
      <w:r w:rsidR="00CA3EE2" w:rsidRPr="00A262E4">
        <w:rPr>
          <w:rFonts w:ascii="Perpetua" w:hAnsi="Perpetua" w:cs="Arial"/>
          <w:vertAlign w:val="superscript"/>
        </w:rPr>
        <w:t>(</w:t>
      </w:r>
      <w:proofErr w:type="gramEnd"/>
      <w:r w:rsidR="00CA3EE2" w:rsidRPr="00A262E4">
        <w:rPr>
          <w:rFonts w:ascii="Perpetua" w:hAnsi="Perpetua" w:cs="Arial"/>
          <w:vertAlign w:val="superscript"/>
        </w:rPr>
        <w:t>7)</w:t>
      </w:r>
      <w:r w:rsidR="00AD33CB" w:rsidRPr="00A262E4">
        <w:rPr>
          <w:rFonts w:ascii="Perpetua" w:hAnsi="Perpetua" w:cs="Arial"/>
        </w:rPr>
        <w:t xml:space="preserve"> en su estudio sobre</w:t>
      </w:r>
      <w:r w:rsidR="00C634E4" w:rsidRPr="00A262E4">
        <w:rPr>
          <w:rFonts w:ascii="Perpetua" w:hAnsi="Perpetua" w:cs="Arial"/>
        </w:rPr>
        <w:t xml:space="preserve"> las </w:t>
      </w:r>
      <w:r w:rsidR="00D41BE6" w:rsidRPr="00A262E4">
        <w:rPr>
          <w:rFonts w:ascii="Perpetua" w:hAnsi="Perpetua" w:cs="Arial"/>
        </w:rPr>
        <w:t xml:space="preserve">características clínicas y epidemiológicas de Toxoplasmosis cerebral en pacientes con VIH en un Hospital nivel III, </w:t>
      </w:r>
      <w:r w:rsidR="00C634E4" w:rsidRPr="00A262E4">
        <w:rPr>
          <w:rFonts w:ascii="Perpetua" w:hAnsi="Perpetua" w:cs="Arial"/>
        </w:rPr>
        <w:t xml:space="preserve">donde </w:t>
      </w:r>
      <w:r w:rsidR="00FB526B" w:rsidRPr="00A262E4">
        <w:rPr>
          <w:rFonts w:ascii="Perpetua" w:hAnsi="Perpetua" w:cs="Arial"/>
        </w:rPr>
        <w:t>la media de</w:t>
      </w:r>
      <w:r w:rsidR="00D41BE6" w:rsidRPr="00A262E4">
        <w:rPr>
          <w:rFonts w:ascii="Perpetua" w:hAnsi="Perpetua" w:cs="Arial"/>
        </w:rPr>
        <w:t xml:space="preserve"> edad fue 37 añ</w:t>
      </w:r>
      <w:r w:rsidR="00D2435C" w:rsidRPr="00A262E4">
        <w:rPr>
          <w:rFonts w:ascii="Perpetua" w:hAnsi="Perpetua" w:cs="Arial"/>
        </w:rPr>
        <w:t xml:space="preserve">os. Por otro lado, </w:t>
      </w:r>
      <w:proofErr w:type="spellStart"/>
      <w:r w:rsidR="00D2435C" w:rsidRPr="00A262E4">
        <w:rPr>
          <w:rFonts w:ascii="Perpetua" w:hAnsi="Perpetua" w:cs="Arial"/>
        </w:rPr>
        <w:t>Sanni</w:t>
      </w:r>
      <w:proofErr w:type="spellEnd"/>
      <w:r w:rsidR="00D2435C" w:rsidRPr="00A262E4">
        <w:rPr>
          <w:rFonts w:ascii="Perpetua" w:hAnsi="Perpetua" w:cs="Arial"/>
        </w:rPr>
        <w:t xml:space="preserve"> et al</w:t>
      </w:r>
      <w:r w:rsidR="00C634E4" w:rsidRPr="00A262E4">
        <w:rPr>
          <w:rFonts w:ascii="Perpetua" w:hAnsi="Perpetua" w:cs="Arial"/>
        </w:rPr>
        <w:t>.</w:t>
      </w:r>
      <w:r w:rsidR="00C634E4" w:rsidRPr="00A262E4">
        <w:rPr>
          <w:rFonts w:ascii="Perpetua" w:hAnsi="Perpetua" w:cs="Arial"/>
          <w:vertAlign w:val="superscript"/>
        </w:rPr>
        <w:t xml:space="preserve"> (</w:t>
      </w:r>
      <w:r w:rsidR="00D2435C" w:rsidRPr="00A262E4">
        <w:rPr>
          <w:rFonts w:ascii="Perpetua" w:hAnsi="Perpetua" w:cs="Arial"/>
          <w:vertAlign w:val="superscript"/>
        </w:rPr>
        <w:t>8)</w:t>
      </w:r>
      <w:r w:rsidR="00D41BE6" w:rsidRPr="00A262E4">
        <w:rPr>
          <w:rFonts w:ascii="Perpetua" w:hAnsi="Perpetua" w:cs="Arial"/>
        </w:rPr>
        <w:t xml:space="preserve">, en el Hospital Semarang en Indonesia; </w:t>
      </w:r>
      <w:r w:rsidR="00E30590" w:rsidRPr="00A262E4">
        <w:rPr>
          <w:rFonts w:ascii="Perpetua" w:hAnsi="Perpetua" w:cs="Arial"/>
        </w:rPr>
        <w:t>encontraron</w:t>
      </w:r>
      <w:r w:rsidR="00D41BE6" w:rsidRPr="00A262E4">
        <w:rPr>
          <w:rFonts w:ascii="Perpetua" w:hAnsi="Perpetua" w:cs="Arial"/>
        </w:rPr>
        <w:t xml:space="preserve"> </w:t>
      </w:r>
      <w:r w:rsidR="002E26E1" w:rsidRPr="00A262E4">
        <w:rPr>
          <w:rFonts w:ascii="Perpetua" w:hAnsi="Perpetua" w:cs="Arial"/>
        </w:rPr>
        <w:t xml:space="preserve">un </w:t>
      </w:r>
      <w:r w:rsidR="00D41BE6" w:rsidRPr="00A262E4">
        <w:rPr>
          <w:rFonts w:ascii="Perpetua" w:hAnsi="Perpetua" w:cs="Arial"/>
        </w:rPr>
        <w:t xml:space="preserve">mayor </w:t>
      </w:r>
      <w:r w:rsidR="002E26E1" w:rsidRPr="00A262E4">
        <w:rPr>
          <w:rFonts w:ascii="Perpetua" w:hAnsi="Perpetua" w:cs="Arial"/>
        </w:rPr>
        <w:t>porcentaje (</w:t>
      </w:r>
      <w:r w:rsidR="00D41BE6" w:rsidRPr="00A262E4">
        <w:rPr>
          <w:rFonts w:ascii="Perpetua" w:hAnsi="Perpetua" w:cs="Arial"/>
        </w:rPr>
        <w:t>72,3 %</w:t>
      </w:r>
      <w:r w:rsidR="002E26E1" w:rsidRPr="00A262E4">
        <w:rPr>
          <w:rFonts w:ascii="Perpetua" w:hAnsi="Perpetua" w:cs="Arial"/>
        </w:rPr>
        <w:t>)</w:t>
      </w:r>
      <w:r w:rsidR="00D41BE6" w:rsidRPr="00A262E4">
        <w:rPr>
          <w:rFonts w:ascii="Perpetua" w:hAnsi="Perpetua" w:cs="Arial"/>
        </w:rPr>
        <w:t xml:space="preserve"> en el grupo de edad mayor de 30 años, en comparación al 27,7% de pacientes menores a 30 años. Sin embargo, Fernández et.</w:t>
      </w:r>
      <w:r w:rsidR="00D2435C" w:rsidRPr="00A262E4">
        <w:rPr>
          <w:rFonts w:ascii="Perpetua" w:hAnsi="Perpetua" w:cs="Arial"/>
        </w:rPr>
        <w:t xml:space="preserve"> al </w:t>
      </w:r>
      <w:r w:rsidR="00D2435C" w:rsidRPr="00A262E4">
        <w:rPr>
          <w:rFonts w:ascii="Perpetua" w:hAnsi="Perpetua" w:cs="Arial"/>
          <w:vertAlign w:val="superscript"/>
        </w:rPr>
        <w:t>(9)</w:t>
      </w:r>
      <w:r w:rsidR="00367C35" w:rsidRPr="00A262E4">
        <w:rPr>
          <w:rFonts w:ascii="Perpetua" w:hAnsi="Perpetua" w:cs="Arial"/>
        </w:rPr>
        <w:t xml:space="preserve">, </w:t>
      </w:r>
      <w:r w:rsidR="00156741" w:rsidRPr="00A262E4">
        <w:rPr>
          <w:rFonts w:ascii="Perpetua" w:hAnsi="Perpetua" w:cs="Arial"/>
        </w:rPr>
        <w:t>reportaron</w:t>
      </w:r>
      <w:r w:rsidR="00D41BE6" w:rsidRPr="00A262E4">
        <w:rPr>
          <w:rFonts w:ascii="Perpetua" w:hAnsi="Perpetua" w:cs="Arial"/>
        </w:rPr>
        <w:t xml:space="preserve"> como edad promedio 32 años</w:t>
      </w:r>
      <w:r w:rsidR="00367C35" w:rsidRPr="00A262E4">
        <w:rPr>
          <w:rFonts w:ascii="Perpetua" w:hAnsi="Perpetua" w:cs="Arial"/>
        </w:rPr>
        <w:t>, resultado discretamente inferior al de este estudio</w:t>
      </w:r>
      <w:r w:rsidR="00E30590" w:rsidRPr="00A262E4">
        <w:rPr>
          <w:rFonts w:ascii="Perpetua" w:hAnsi="Perpetua" w:cs="Arial"/>
        </w:rPr>
        <w:t>,</w:t>
      </w:r>
      <w:r w:rsidR="00367C35" w:rsidRPr="00A262E4">
        <w:rPr>
          <w:rFonts w:ascii="Perpetua" w:hAnsi="Perpetua" w:cs="Arial"/>
        </w:rPr>
        <w:t xml:space="preserve"> aunque con</w:t>
      </w:r>
      <w:r w:rsidR="00D41BE6" w:rsidRPr="00A262E4">
        <w:rPr>
          <w:rFonts w:ascii="Perpetua" w:hAnsi="Perpetua" w:cs="Arial"/>
        </w:rPr>
        <w:t xml:space="preserve"> una </w:t>
      </w:r>
      <w:r w:rsidR="00904C0C" w:rsidRPr="00A262E4">
        <w:rPr>
          <w:rFonts w:ascii="Perpetua" w:hAnsi="Perpetua" w:cs="Arial"/>
        </w:rPr>
        <w:t>mayor prevalencia en el</w:t>
      </w:r>
      <w:r w:rsidR="00293B22" w:rsidRPr="00A262E4">
        <w:rPr>
          <w:rFonts w:ascii="Perpetua" w:hAnsi="Perpetua" w:cs="Arial"/>
        </w:rPr>
        <w:t xml:space="preserve"> sexo masculino (79,</w:t>
      </w:r>
      <w:r w:rsidR="00C647E1" w:rsidRPr="00A262E4">
        <w:rPr>
          <w:rFonts w:ascii="Perpetua" w:hAnsi="Perpetua" w:cs="Arial"/>
        </w:rPr>
        <w:t>1%), l</w:t>
      </w:r>
      <w:r w:rsidR="00D41BE6" w:rsidRPr="00A262E4">
        <w:rPr>
          <w:rFonts w:ascii="Perpetua" w:hAnsi="Perpetua" w:cs="Arial"/>
        </w:rPr>
        <w:t>o cual c</w:t>
      </w:r>
      <w:r w:rsidR="00293B22" w:rsidRPr="00A262E4">
        <w:rPr>
          <w:rFonts w:ascii="Perpetua" w:hAnsi="Perpetua" w:cs="Arial"/>
        </w:rPr>
        <w:t>oincide con esta investigación</w:t>
      </w:r>
      <w:r w:rsidR="00D41BE6" w:rsidRPr="00A262E4">
        <w:rPr>
          <w:rFonts w:ascii="Perpetua" w:hAnsi="Perpetua" w:cs="Arial"/>
        </w:rPr>
        <w:t xml:space="preserve">. </w:t>
      </w:r>
    </w:p>
    <w:p w14:paraId="6764CB15" w14:textId="77777777" w:rsidR="00D41BE6" w:rsidRPr="00A262E4" w:rsidRDefault="00D41BE6" w:rsidP="00BB7313">
      <w:pPr>
        <w:spacing w:line="360" w:lineRule="auto"/>
        <w:jc w:val="both"/>
        <w:rPr>
          <w:rFonts w:ascii="Perpetua" w:hAnsi="Perpetua" w:cs="Arial"/>
        </w:rPr>
      </w:pPr>
      <w:r w:rsidRPr="00A262E4">
        <w:rPr>
          <w:rFonts w:ascii="Perpetua" w:hAnsi="Perpetua" w:cs="Arial"/>
        </w:rPr>
        <w:lastRenderedPageBreak/>
        <w:t xml:space="preserve">Coto </w:t>
      </w:r>
      <w:proofErr w:type="gramStart"/>
      <w:r w:rsidRPr="00A262E4">
        <w:rPr>
          <w:rFonts w:ascii="Perpetua" w:hAnsi="Perpetua" w:cs="Arial"/>
        </w:rPr>
        <w:t>et al.</w:t>
      </w:r>
      <w:r w:rsidR="0086165F" w:rsidRPr="00A262E4">
        <w:rPr>
          <w:rFonts w:ascii="Perpetua" w:hAnsi="Perpetua" w:cs="Arial"/>
          <w:vertAlign w:val="superscript"/>
        </w:rPr>
        <w:t>(</w:t>
      </w:r>
      <w:proofErr w:type="gramEnd"/>
      <w:r w:rsidR="0086165F" w:rsidRPr="00A262E4">
        <w:rPr>
          <w:rFonts w:ascii="Perpetua" w:hAnsi="Perpetua" w:cs="Arial"/>
          <w:vertAlign w:val="superscript"/>
        </w:rPr>
        <w:t>10</w:t>
      </w:r>
      <w:r w:rsidR="00F27CED" w:rsidRPr="00A262E4">
        <w:rPr>
          <w:rFonts w:ascii="Perpetua" w:hAnsi="Perpetua" w:cs="Arial"/>
          <w:vertAlign w:val="superscript"/>
        </w:rPr>
        <w:t>)</w:t>
      </w:r>
      <w:r w:rsidR="00F27CED" w:rsidRPr="00A262E4">
        <w:rPr>
          <w:rFonts w:ascii="Perpetua" w:hAnsi="Perpetua" w:cs="Arial"/>
        </w:rPr>
        <w:t xml:space="preserve"> </w:t>
      </w:r>
      <w:r w:rsidRPr="00A262E4">
        <w:rPr>
          <w:rFonts w:ascii="Perpetua" w:hAnsi="Perpetua" w:cs="Arial"/>
        </w:rPr>
        <w:t xml:space="preserve">en el </w:t>
      </w:r>
      <w:r w:rsidR="007E3C94" w:rsidRPr="00A262E4">
        <w:rPr>
          <w:rFonts w:ascii="Perpetua" w:hAnsi="Perpetua" w:cs="Arial"/>
        </w:rPr>
        <w:t>año 2021,</w:t>
      </w:r>
      <w:r w:rsidRPr="00A262E4">
        <w:rPr>
          <w:rFonts w:ascii="Perpetua" w:hAnsi="Perpetua" w:cs="Arial"/>
        </w:rPr>
        <w:t xml:space="preserve"> realiza</w:t>
      </w:r>
      <w:r w:rsidR="007E3C94" w:rsidRPr="00A262E4">
        <w:rPr>
          <w:rFonts w:ascii="Perpetua" w:hAnsi="Perpetua" w:cs="Arial"/>
        </w:rPr>
        <w:t>ron</w:t>
      </w:r>
      <w:r w:rsidRPr="00A262E4">
        <w:rPr>
          <w:rFonts w:ascii="Perpetua" w:hAnsi="Perpetua" w:cs="Arial"/>
        </w:rPr>
        <w:t xml:space="preserve"> un</w:t>
      </w:r>
      <w:r w:rsidR="007E3C94" w:rsidRPr="00A262E4">
        <w:rPr>
          <w:rFonts w:ascii="Perpetua" w:hAnsi="Perpetua" w:cs="Arial"/>
        </w:rPr>
        <w:t>a investigación</w:t>
      </w:r>
      <w:r w:rsidRPr="00A262E4">
        <w:rPr>
          <w:rFonts w:ascii="Perpetua" w:hAnsi="Perpetua" w:cs="Arial"/>
        </w:rPr>
        <w:t xml:space="preserve"> sobr</w:t>
      </w:r>
      <w:r w:rsidR="0086165F" w:rsidRPr="00A262E4">
        <w:rPr>
          <w:rFonts w:ascii="Perpetua" w:hAnsi="Perpetua" w:cs="Arial"/>
        </w:rPr>
        <w:t>e la encefalitis provocada por t</w:t>
      </w:r>
      <w:r w:rsidRPr="00A262E4">
        <w:rPr>
          <w:rFonts w:ascii="Perpetua" w:hAnsi="Perpetua" w:cs="Arial"/>
        </w:rPr>
        <w:t>oxopla</w:t>
      </w:r>
      <w:r w:rsidR="00BE368C" w:rsidRPr="00A262E4">
        <w:rPr>
          <w:rFonts w:ascii="Perpetua" w:hAnsi="Perpetua" w:cs="Arial"/>
        </w:rPr>
        <w:t xml:space="preserve">sma </w:t>
      </w:r>
      <w:proofErr w:type="spellStart"/>
      <w:r w:rsidR="00BE368C" w:rsidRPr="00A262E4">
        <w:rPr>
          <w:rFonts w:ascii="Perpetua" w:hAnsi="Perpetua" w:cs="Arial"/>
        </w:rPr>
        <w:t>gondii</w:t>
      </w:r>
      <w:proofErr w:type="spellEnd"/>
      <w:r w:rsidR="00BE368C" w:rsidRPr="00A262E4">
        <w:rPr>
          <w:rFonts w:ascii="Perpetua" w:hAnsi="Perpetua" w:cs="Arial"/>
        </w:rPr>
        <w:t xml:space="preserve"> en pacientes con VIH.</w:t>
      </w:r>
      <w:r w:rsidR="00BE2B0C" w:rsidRPr="00A262E4">
        <w:rPr>
          <w:rFonts w:ascii="Perpetua" w:hAnsi="Perpetua" w:cs="Arial"/>
        </w:rPr>
        <w:t xml:space="preserve"> </w:t>
      </w:r>
      <w:r w:rsidR="00BE368C" w:rsidRPr="00A262E4">
        <w:rPr>
          <w:rFonts w:ascii="Perpetua" w:hAnsi="Perpetua" w:cs="Arial"/>
        </w:rPr>
        <w:t xml:space="preserve">Los síntomas que observaron con mayor frecuencia fueron: </w:t>
      </w:r>
      <w:r w:rsidRPr="00A262E4">
        <w:rPr>
          <w:rFonts w:ascii="Perpetua" w:hAnsi="Perpetua" w:cs="Arial"/>
        </w:rPr>
        <w:t>cefalea, alteraciones del estado de conciencia y déficits</w:t>
      </w:r>
      <w:r w:rsidR="00BE368C" w:rsidRPr="00A262E4">
        <w:rPr>
          <w:rFonts w:ascii="Perpetua" w:hAnsi="Perpetua" w:cs="Arial"/>
        </w:rPr>
        <w:t xml:space="preserve"> neurológicos, l</w:t>
      </w:r>
      <w:r w:rsidRPr="00A262E4">
        <w:rPr>
          <w:rFonts w:ascii="Perpetua" w:hAnsi="Perpetua" w:cs="Arial"/>
        </w:rPr>
        <w:t>o cual está en correspo</w:t>
      </w:r>
      <w:r w:rsidR="00293B22" w:rsidRPr="00A262E4">
        <w:rPr>
          <w:rFonts w:ascii="Perpetua" w:hAnsi="Perpetua" w:cs="Arial"/>
        </w:rPr>
        <w:t>ndencia con esta investigación.</w:t>
      </w:r>
      <w:r w:rsidRPr="00A262E4">
        <w:rPr>
          <w:rFonts w:ascii="Perpetua" w:hAnsi="Perpetua" w:cs="Arial"/>
        </w:rPr>
        <w:t xml:space="preserve"> </w:t>
      </w:r>
      <w:r w:rsidR="00993506" w:rsidRPr="00A262E4">
        <w:rPr>
          <w:rFonts w:ascii="Perpetua" w:hAnsi="Perpetua" w:cs="Arial"/>
        </w:rPr>
        <w:t xml:space="preserve">Por otro lado, Jaramillo </w:t>
      </w:r>
      <w:proofErr w:type="gramStart"/>
      <w:r w:rsidR="00993506" w:rsidRPr="00A262E4">
        <w:rPr>
          <w:rFonts w:ascii="Perpetua" w:hAnsi="Perpetua" w:cs="Arial"/>
        </w:rPr>
        <w:t>et al.</w:t>
      </w:r>
      <w:r w:rsidR="009163EF" w:rsidRPr="00A262E4">
        <w:rPr>
          <w:rFonts w:ascii="Perpetua" w:hAnsi="Perpetua" w:cs="Arial"/>
          <w:vertAlign w:val="superscript"/>
        </w:rPr>
        <w:t>(</w:t>
      </w:r>
      <w:proofErr w:type="gramEnd"/>
      <w:r w:rsidR="009163EF" w:rsidRPr="00A262E4">
        <w:rPr>
          <w:rFonts w:ascii="Perpetua" w:hAnsi="Perpetua" w:cs="Arial"/>
          <w:vertAlign w:val="superscript"/>
        </w:rPr>
        <w:t>11</w:t>
      </w:r>
      <w:r w:rsidR="00993506" w:rsidRPr="00A262E4">
        <w:rPr>
          <w:rFonts w:ascii="Perpetua" w:hAnsi="Perpetua" w:cs="Arial"/>
          <w:vertAlign w:val="superscript"/>
        </w:rPr>
        <w:t>)</w:t>
      </w:r>
      <w:r w:rsidR="004206B8" w:rsidRPr="00A262E4">
        <w:rPr>
          <w:rFonts w:ascii="Perpetua" w:hAnsi="Perpetua" w:cs="Arial"/>
        </w:rPr>
        <w:t xml:space="preserve"> reportaron que 15 individuos (39%) presentaron </w:t>
      </w:r>
      <w:r w:rsidRPr="00A262E4">
        <w:rPr>
          <w:rFonts w:ascii="Perpetua" w:hAnsi="Perpetua" w:cs="Arial"/>
        </w:rPr>
        <w:t xml:space="preserve">convulsiones, </w:t>
      </w:r>
      <w:r w:rsidR="00C72F48" w:rsidRPr="00A262E4">
        <w:rPr>
          <w:rFonts w:ascii="Perpetua" w:hAnsi="Perpetua" w:cs="Arial"/>
        </w:rPr>
        <w:t xml:space="preserve">seguido de 7 </w:t>
      </w:r>
      <w:r w:rsidR="004E69B5" w:rsidRPr="00A262E4">
        <w:rPr>
          <w:rFonts w:ascii="Perpetua" w:hAnsi="Perpetua" w:cs="Arial"/>
        </w:rPr>
        <w:t xml:space="preserve">(18%) </w:t>
      </w:r>
      <w:r w:rsidR="00C72F48" w:rsidRPr="00A262E4">
        <w:rPr>
          <w:rFonts w:ascii="Perpetua" w:hAnsi="Perpetua" w:cs="Arial"/>
        </w:rPr>
        <w:t xml:space="preserve">pacientes con </w:t>
      </w:r>
      <w:r w:rsidRPr="00A262E4">
        <w:rPr>
          <w:rFonts w:ascii="Perpetua" w:hAnsi="Perpetua" w:cs="Arial"/>
        </w:rPr>
        <w:t xml:space="preserve">cefalea; </w:t>
      </w:r>
      <w:r w:rsidR="004E69B5" w:rsidRPr="00A262E4">
        <w:rPr>
          <w:rFonts w:ascii="Perpetua" w:hAnsi="Perpetua" w:cs="Arial"/>
        </w:rPr>
        <w:t xml:space="preserve">6 (16%) pacientes </w:t>
      </w:r>
      <w:r w:rsidR="007D17E3" w:rsidRPr="00A262E4">
        <w:rPr>
          <w:rFonts w:ascii="Perpetua" w:hAnsi="Perpetua" w:cs="Arial"/>
        </w:rPr>
        <w:t>con alteraciones</w:t>
      </w:r>
      <w:r w:rsidRPr="00A262E4">
        <w:rPr>
          <w:rFonts w:ascii="Perpetua" w:hAnsi="Perpetua" w:cs="Arial"/>
        </w:rPr>
        <w:t xml:space="preserve"> visual</w:t>
      </w:r>
      <w:r w:rsidR="007D17E3" w:rsidRPr="00A262E4">
        <w:rPr>
          <w:rFonts w:ascii="Perpetua" w:hAnsi="Perpetua" w:cs="Arial"/>
        </w:rPr>
        <w:t>es</w:t>
      </w:r>
      <w:r w:rsidRPr="00A262E4">
        <w:rPr>
          <w:rFonts w:ascii="Perpetua" w:hAnsi="Perpetua" w:cs="Arial"/>
        </w:rPr>
        <w:t xml:space="preserve"> </w:t>
      </w:r>
      <w:r w:rsidR="007D17E3" w:rsidRPr="00A262E4">
        <w:rPr>
          <w:rFonts w:ascii="Perpetua" w:hAnsi="Perpetua" w:cs="Arial"/>
        </w:rPr>
        <w:t xml:space="preserve">y </w:t>
      </w:r>
      <w:r w:rsidRPr="00A262E4">
        <w:rPr>
          <w:rFonts w:ascii="Perpetua" w:hAnsi="Perpetua" w:cs="Arial"/>
        </w:rPr>
        <w:t xml:space="preserve">3 </w:t>
      </w:r>
      <w:r w:rsidR="005B614B" w:rsidRPr="00A262E4">
        <w:rPr>
          <w:rFonts w:ascii="Perpetua" w:hAnsi="Perpetua" w:cs="Arial"/>
        </w:rPr>
        <w:t>(8%) con disminución del nivel de consciencia</w:t>
      </w:r>
      <w:r w:rsidR="003B6840" w:rsidRPr="00A262E4">
        <w:rPr>
          <w:rFonts w:ascii="Perpetua" w:hAnsi="Perpetua" w:cs="Arial"/>
        </w:rPr>
        <w:t>. Naranjo et al</w:t>
      </w:r>
      <w:r w:rsidR="003879D2" w:rsidRPr="00A262E4">
        <w:rPr>
          <w:rFonts w:ascii="Perpetua" w:hAnsi="Perpetua" w:cs="Arial"/>
        </w:rPr>
        <w:t>.</w:t>
      </w:r>
      <w:r w:rsidR="003879D2" w:rsidRPr="00A262E4">
        <w:rPr>
          <w:rFonts w:ascii="Perpetua" w:hAnsi="Perpetua" w:cs="Arial"/>
          <w:vertAlign w:val="superscript"/>
        </w:rPr>
        <w:t xml:space="preserve"> (</w:t>
      </w:r>
      <w:r w:rsidR="009163EF" w:rsidRPr="00A262E4">
        <w:rPr>
          <w:rFonts w:ascii="Perpetua" w:hAnsi="Perpetua" w:cs="Arial"/>
          <w:vertAlign w:val="superscript"/>
        </w:rPr>
        <w:t>12</w:t>
      </w:r>
      <w:r w:rsidR="003B6840" w:rsidRPr="00A262E4">
        <w:rPr>
          <w:rFonts w:ascii="Perpetua" w:hAnsi="Perpetua" w:cs="Arial"/>
          <w:vertAlign w:val="superscript"/>
        </w:rPr>
        <w:t>)</w:t>
      </w:r>
      <w:r w:rsidR="000E7217" w:rsidRPr="00A262E4">
        <w:rPr>
          <w:rFonts w:ascii="Perpetua" w:hAnsi="Perpetua" w:cs="Arial"/>
        </w:rPr>
        <w:t xml:space="preserve"> señalaron que la cefalea</w:t>
      </w:r>
      <w:r w:rsidR="00055127" w:rsidRPr="00A262E4">
        <w:rPr>
          <w:rFonts w:ascii="Perpetua" w:hAnsi="Perpetua" w:cs="Arial"/>
        </w:rPr>
        <w:t>,</w:t>
      </w:r>
      <w:r w:rsidRPr="00A262E4">
        <w:rPr>
          <w:rFonts w:ascii="Perpetua" w:hAnsi="Perpetua" w:cs="Arial"/>
        </w:rPr>
        <w:t xml:space="preserve"> las parestesias faciales y las crisis convulsivas son frecuentes si hay infecciones del sistema nervioso central. </w:t>
      </w:r>
    </w:p>
    <w:p w14:paraId="20CFDD57" w14:textId="77777777" w:rsidR="005B614B" w:rsidRPr="00A262E4" w:rsidRDefault="005B614B" w:rsidP="00BB7313">
      <w:pPr>
        <w:spacing w:line="360" w:lineRule="auto"/>
        <w:jc w:val="both"/>
        <w:rPr>
          <w:rFonts w:ascii="Perpetua" w:hAnsi="Perpetua" w:cs="Arial"/>
        </w:rPr>
      </w:pPr>
    </w:p>
    <w:p w14:paraId="616B1DFB" w14:textId="77777777" w:rsidR="00D41BE6" w:rsidRPr="00A262E4" w:rsidRDefault="003B6840" w:rsidP="00BB7313">
      <w:pPr>
        <w:spacing w:line="360" w:lineRule="auto"/>
        <w:jc w:val="both"/>
        <w:rPr>
          <w:rFonts w:ascii="Perpetua" w:hAnsi="Perpetua" w:cs="Arial"/>
        </w:rPr>
      </w:pPr>
      <w:proofErr w:type="spellStart"/>
      <w:r w:rsidRPr="00A262E4">
        <w:rPr>
          <w:rFonts w:ascii="Perpetua" w:hAnsi="Perpetua" w:cs="Arial"/>
        </w:rPr>
        <w:t>Pinchi</w:t>
      </w:r>
      <w:proofErr w:type="spellEnd"/>
      <w:r w:rsidRPr="00A262E4">
        <w:rPr>
          <w:rFonts w:ascii="Perpetua" w:hAnsi="Perpetua" w:cs="Arial"/>
        </w:rPr>
        <w:t xml:space="preserve"> </w:t>
      </w:r>
      <w:proofErr w:type="gramStart"/>
      <w:r w:rsidRPr="00A262E4">
        <w:rPr>
          <w:rFonts w:ascii="Perpetua" w:hAnsi="Perpetua" w:cs="Arial"/>
        </w:rPr>
        <w:t>et al.</w:t>
      </w:r>
      <w:r w:rsidRPr="00A262E4">
        <w:rPr>
          <w:rFonts w:ascii="Perpetua" w:hAnsi="Perpetua" w:cs="Arial"/>
          <w:vertAlign w:val="superscript"/>
        </w:rPr>
        <w:t>(</w:t>
      </w:r>
      <w:proofErr w:type="gramEnd"/>
      <w:r w:rsidRPr="00A262E4">
        <w:rPr>
          <w:rFonts w:ascii="Perpetua" w:hAnsi="Perpetua" w:cs="Arial"/>
          <w:vertAlign w:val="superscript"/>
        </w:rPr>
        <w:t>7)</w:t>
      </w:r>
      <w:r w:rsidR="004F14CE" w:rsidRPr="00A262E4">
        <w:rPr>
          <w:rFonts w:ascii="Perpetua" w:hAnsi="Perpetua" w:cs="Arial"/>
        </w:rPr>
        <w:t xml:space="preserve">, describieron </w:t>
      </w:r>
      <w:r w:rsidR="00D41BE6" w:rsidRPr="00A262E4">
        <w:rPr>
          <w:rFonts w:ascii="Perpetua" w:hAnsi="Perpetua" w:cs="Arial"/>
        </w:rPr>
        <w:t xml:space="preserve">en su estudio que las </w:t>
      </w:r>
      <w:proofErr w:type="spellStart"/>
      <w:r w:rsidR="00D41BE6" w:rsidRPr="00A262E4">
        <w:rPr>
          <w:rFonts w:ascii="Perpetua" w:hAnsi="Perpetua" w:cs="Arial"/>
        </w:rPr>
        <w:t>coinfecciones</w:t>
      </w:r>
      <w:proofErr w:type="spellEnd"/>
      <w:r w:rsidR="00D41BE6" w:rsidRPr="00A262E4">
        <w:rPr>
          <w:rFonts w:ascii="Perpetua" w:hAnsi="Perpetua" w:cs="Arial"/>
        </w:rPr>
        <w:t xml:space="preserve"> más comunes in</w:t>
      </w:r>
      <w:r w:rsidR="003879D2" w:rsidRPr="00A262E4">
        <w:rPr>
          <w:rFonts w:ascii="Perpetua" w:hAnsi="Perpetua" w:cs="Arial"/>
        </w:rPr>
        <w:t>cluyeron: diarrea crónica (9), t</w:t>
      </w:r>
      <w:r w:rsidR="00D41BE6" w:rsidRPr="00A262E4">
        <w:rPr>
          <w:rFonts w:ascii="Perpetua" w:hAnsi="Perpetua" w:cs="Arial"/>
        </w:rPr>
        <w:t xml:space="preserve">uberculosis pulmonar (6), neumonía (3), sífilis (2) y otros como </w:t>
      </w:r>
      <w:proofErr w:type="spellStart"/>
      <w:r w:rsidR="00D41BE6" w:rsidRPr="00A262E4">
        <w:rPr>
          <w:rFonts w:ascii="Perpetua" w:hAnsi="Perpetua" w:cs="Arial"/>
        </w:rPr>
        <w:t>micobacterias</w:t>
      </w:r>
      <w:proofErr w:type="spellEnd"/>
      <w:r w:rsidR="00D41BE6" w:rsidRPr="00A262E4">
        <w:rPr>
          <w:rFonts w:ascii="Perpetua" w:hAnsi="Perpetua" w:cs="Arial"/>
        </w:rPr>
        <w:t xml:space="preserve"> y virus de Epstein-</w:t>
      </w:r>
      <w:proofErr w:type="spellStart"/>
      <w:r w:rsidR="00D41BE6" w:rsidRPr="00A262E4">
        <w:rPr>
          <w:rFonts w:ascii="Perpetua" w:hAnsi="Perpetua" w:cs="Arial"/>
        </w:rPr>
        <w:t>Barr</w:t>
      </w:r>
      <w:proofErr w:type="spellEnd"/>
      <w:r w:rsidR="00D41BE6" w:rsidRPr="00A262E4">
        <w:rPr>
          <w:rFonts w:ascii="Perpetua" w:hAnsi="Perpetua" w:cs="Arial"/>
        </w:rPr>
        <w:t xml:space="preserve"> (7).</w:t>
      </w:r>
      <w:r w:rsidR="00C80D56" w:rsidRPr="00A262E4">
        <w:rPr>
          <w:rFonts w:ascii="Perpetua" w:hAnsi="Perpetua" w:cs="Arial"/>
        </w:rPr>
        <w:t>Por otro lado,</w:t>
      </w:r>
      <w:r w:rsidR="00D41BE6" w:rsidRPr="00A262E4">
        <w:rPr>
          <w:rFonts w:ascii="Perpetua" w:hAnsi="Perpetua" w:cs="Arial"/>
        </w:rPr>
        <w:t xml:space="preserve"> Cubas</w:t>
      </w:r>
      <w:r w:rsidR="002E0E11" w:rsidRPr="00A262E4">
        <w:rPr>
          <w:rFonts w:ascii="Perpetua" w:hAnsi="Perpetua" w:cs="Arial"/>
        </w:rPr>
        <w:t xml:space="preserve"> et al </w:t>
      </w:r>
      <w:r w:rsidR="009163EF" w:rsidRPr="00A262E4">
        <w:rPr>
          <w:rFonts w:ascii="Perpetua" w:hAnsi="Perpetua" w:cs="Arial"/>
          <w:vertAlign w:val="superscript"/>
        </w:rPr>
        <w:t>(13</w:t>
      </w:r>
      <w:r w:rsidR="009706A6" w:rsidRPr="00A262E4">
        <w:rPr>
          <w:rFonts w:ascii="Perpetua" w:hAnsi="Perpetua" w:cs="Arial"/>
          <w:vertAlign w:val="superscript"/>
        </w:rPr>
        <w:t>)</w:t>
      </w:r>
      <w:r w:rsidR="009706A6" w:rsidRPr="00A262E4">
        <w:rPr>
          <w:rFonts w:ascii="Perpetua" w:hAnsi="Perpetua" w:cs="Arial"/>
        </w:rPr>
        <w:t>,</w:t>
      </w:r>
      <w:r w:rsidR="00D41BE6" w:rsidRPr="00A262E4">
        <w:rPr>
          <w:rFonts w:ascii="Perpetua" w:hAnsi="Perpetua" w:cs="Arial"/>
        </w:rPr>
        <w:t xml:space="preserve"> apunta en su trabajo que hubo </w:t>
      </w:r>
      <w:proofErr w:type="spellStart"/>
      <w:r w:rsidR="00D41BE6" w:rsidRPr="00A262E4">
        <w:rPr>
          <w:rFonts w:ascii="Perpetua" w:hAnsi="Perpetua" w:cs="Arial"/>
        </w:rPr>
        <w:t>coinfeccione</w:t>
      </w:r>
      <w:r w:rsidR="00C80D56" w:rsidRPr="00A262E4">
        <w:rPr>
          <w:rFonts w:ascii="Perpetua" w:hAnsi="Perpetua" w:cs="Arial"/>
        </w:rPr>
        <w:t>s</w:t>
      </w:r>
      <w:proofErr w:type="spellEnd"/>
      <w:r w:rsidR="00C80D56" w:rsidRPr="00A262E4">
        <w:rPr>
          <w:rFonts w:ascii="Perpetua" w:hAnsi="Perpetua" w:cs="Arial"/>
        </w:rPr>
        <w:t xml:space="preserve"> en dos tercios de los pacientes estudiados</w:t>
      </w:r>
      <w:r w:rsidR="00301042" w:rsidRPr="00A262E4">
        <w:rPr>
          <w:rFonts w:ascii="Perpetua" w:hAnsi="Perpetua" w:cs="Arial"/>
        </w:rPr>
        <w:t>. De estas, el 38,</w:t>
      </w:r>
      <w:r w:rsidR="00D41BE6" w:rsidRPr="00A262E4">
        <w:rPr>
          <w:rFonts w:ascii="Perpetua" w:hAnsi="Perpetua" w:cs="Arial"/>
        </w:rPr>
        <w:t xml:space="preserve">8% por Candidiasis </w:t>
      </w:r>
      <w:proofErr w:type="spellStart"/>
      <w:r w:rsidR="00D41BE6" w:rsidRPr="00A262E4">
        <w:rPr>
          <w:rFonts w:ascii="Perpetua" w:hAnsi="Perpetua" w:cs="Arial"/>
        </w:rPr>
        <w:t>orofaríngea</w:t>
      </w:r>
      <w:proofErr w:type="spellEnd"/>
      <w:r w:rsidR="00D41BE6" w:rsidRPr="00A262E4">
        <w:rPr>
          <w:rFonts w:ascii="Perpetua" w:hAnsi="Perpetua" w:cs="Arial"/>
        </w:rPr>
        <w:t xml:space="preserve"> y 22% del tracto respiratorio</w:t>
      </w:r>
      <w:r w:rsidR="00C80D56" w:rsidRPr="00A262E4">
        <w:rPr>
          <w:rFonts w:ascii="Perpetua" w:hAnsi="Perpetua" w:cs="Arial"/>
        </w:rPr>
        <w:t xml:space="preserve">, similares </w:t>
      </w:r>
      <w:r w:rsidR="00291D65" w:rsidRPr="00A262E4">
        <w:rPr>
          <w:rFonts w:ascii="Perpetua" w:hAnsi="Perpetua" w:cs="Arial"/>
        </w:rPr>
        <w:t>resultados</w:t>
      </w:r>
      <w:r w:rsidR="00845F21" w:rsidRPr="00A262E4">
        <w:rPr>
          <w:rFonts w:ascii="Perpetua" w:hAnsi="Perpetua" w:cs="Arial"/>
        </w:rPr>
        <w:t xml:space="preserve"> se reportaron en esta investigación</w:t>
      </w:r>
      <w:r w:rsidR="00D41BE6" w:rsidRPr="00A262E4">
        <w:rPr>
          <w:rFonts w:ascii="Perpetua" w:hAnsi="Perpetua" w:cs="Arial"/>
        </w:rPr>
        <w:t>.</w:t>
      </w:r>
    </w:p>
    <w:p w14:paraId="656A1C0B" w14:textId="77777777" w:rsidR="00291D65" w:rsidRPr="00A262E4" w:rsidRDefault="00291D65" w:rsidP="00BB7313">
      <w:pPr>
        <w:spacing w:line="360" w:lineRule="auto"/>
        <w:jc w:val="both"/>
        <w:rPr>
          <w:rFonts w:ascii="Perpetua" w:hAnsi="Perpetua" w:cs="Arial"/>
        </w:rPr>
      </w:pPr>
    </w:p>
    <w:p w14:paraId="32C2C77C" w14:textId="77777777" w:rsidR="00D41BE6" w:rsidRPr="00A262E4" w:rsidRDefault="00D41BE6" w:rsidP="00BB7313">
      <w:pPr>
        <w:spacing w:line="360" w:lineRule="auto"/>
        <w:jc w:val="both"/>
        <w:rPr>
          <w:rFonts w:ascii="Perpetua" w:hAnsi="Perpetua" w:cs="Arial"/>
        </w:rPr>
      </w:pPr>
      <w:proofErr w:type="spellStart"/>
      <w:r w:rsidRPr="00A262E4">
        <w:rPr>
          <w:rFonts w:ascii="Perpetua" w:hAnsi="Perpetua" w:cs="Arial"/>
        </w:rPr>
        <w:t>Aljure</w:t>
      </w:r>
      <w:proofErr w:type="spellEnd"/>
      <w:r w:rsidRPr="00A262E4">
        <w:rPr>
          <w:rFonts w:ascii="Perpetua" w:hAnsi="Perpetua" w:cs="Arial"/>
        </w:rPr>
        <w:t xml:space="preserve"> </w:t>
      </w:r>
      <w:proofErr w:type="gramStart"/>
      <w:r w:rsidRPr="00A262E4">
        <w:rPr>
          <w:rFonts w:ascii="Perpetua" w:hAnsi="Perpetua" w:cs="Arial"/>
        </w:rPr>
        <w:t>et al.</w:t>
      </w:r>
      <w:r w:rsidR="009163EF" w:rsidRPr="00A262E4">
        <w:rPr>
          <w:rFonts w:ascii="Perpetua" w:hAnsi="Perpetua" w:cs="Arial"/>
          <w:vertAlign w:val="superscript"/>
        </w:rPr>
        <w:t>(</w:t>
      </w:r>
      <w:proofErr w:type="gramEnd"/>
      <w:r w:rsidR="009163EF" w:rsidRPr="00A262E4">
        <w:rPr>
          <w:rFonts w:ascii="Perpetua" w:hAnsi="Perpetua" w:cs="Arial"/>
          <w:vertAlign w:val="superscript"/>
        </w:rPr>
        <w:t>14</w:t>
      </w:r>
      <w:r w:rsidR="00590343" w:rsidRPr="00A262E4">
        <w:rPr>
          <w:rFonts w:ascii="Perpetua" w:hAnsi="Perpetua" w:cs="Arial"/>
          <w:vertAlign w:val="superscript"/>
        </w:rPr>
        <w:t>)</w:t>
      </w:r>
      <w:r w:rsidR="00D061D6" w:rsidRPr="00A262E4">
        <w:rPr>
          <w:rFonts w:ascii="Perpetua" w:hAnsi="Perpetua" w:cs="Arial"/>
        </w:rPr>
        <w:t xml:space="preserve"> hallaron</w:t>
      </w:r>
      <w:r w:rsidR="00301042" w:rsidRPr="00A262E4">
        <w:rPr>
          <w:rFonts w:ascii="Perpetua" w:hAnsi="Perpetua" w:cs="Arial"/>
        </w:rPr>
        <w:t xml:space="preserve">, que </w:t>
      </w:r>
      <w:r w:rsidRPr="00A262E4">
        <w:rPr>
          <w:rFonts w:ascii="Perpetua" w:hAnsi="Perpetua" w:cs="Arial"/>
        </w:rPr>
        <w:t xml:space="preserve">en la TC con contraste </w:t>
      </w:r>
      <w:r w:rsidR="00301042" w:rsidRPr="00A262E4">
        <w:rPr>
          <w:rFonts w:ascii="Perpetua" w:hAnsi="Perpetua" w:cs="Arial"/>
        </w:rPr>
        <w:t>de paciente</w:t>
      </w:r>
      <w:r w:rsidR="00D061D6" w:rsidRPr="00A262E4">
        <w:rPr>
          <w:rFonts w:ascii="Perpetua" w:hAnsi="Perpetua" w:cs="Arial"/>
        </w:rPr>
        <w:t xml:space="preserve">s con </w:t>
      </w:r>
      <w:proofErr w:type="spellStart"/>
      <w:r w:rsidR="00D061D6" w:rsidRPr="00A262E4">
        <w:rPr>
          <w:rFonts w:ascii="Perpetua" w:hAnsi="Perpetua" w:cs="Arial"/>
        </w:rPr>
        <w:t>neurotoxoplasm</w:t>
      </w:r>
      <w:r w:rsidR="00301042" w:rsidRPr="00A262E4">
        <w:rPr>
          <w:rFonts w:ascii="Perpetua" w:hAnsi="Perpetua" w:cs="Arial"/>
        </w:rPr>
        <w:t>osis</w:t>
      </w:r>
      <w:proofErr w:type="spellEnd"/>
      <w:r w:rsidR="00ED0456" w:rsidRPr="00A262E4">
        <w:rPr>
          <w:rFonts w:ascii="Perpetua" w:hAnsi="Perpetua" w:cs="Arial"/>
        </w:rPr>
        <w:t xml:space="preserve"> las lesiones </w:t>
      </w:r>
      <w:proofErr w:type="spellStart"/>
      <w:r w:rsidR="00ED0456" w:rsidRPr="00A262E4">
        <w:rPr>
          <w:rFonts w:ascii="Perpetua" w:hAnsi="Perpetua" w:cs="Arial"/>
        </w:rPr>
        <w:t>intraparenquimatosas</w:t>
      </w:r>
      <w:proofErr w:type="spellEnd"/>
      <w:r w:rsidR="00ED0456" w:rsidRPr="00A262E4">
        <w:rPr>
          <w:rFonts w:ascii="Perpetua" w:hAnsi="Perpetua" w:cs="Arial"/>
        </w:rPr>
        <w:t xml:space="preserve"> fueron</w:t>
      </w:r>
      <w:r w:rsidR="00A93803" w:rsidRPr="00A262E4">
        <w:rPr>
          <w:rFonts w:ascii="Perpetua" w:hAnsi="Perpetua" w:cs="Arial"/>
        </w:rPr>
        <w:t xml:space="preserve"> únicas (15</w:t>
      </w:r>
      <w:r w:rsidR="001203C7" w:rsidRPr="00A262E4">
        <w:rPr>
          <w:rFonts w:ascii="Perpetua" w:hAnsi="Perpetua" w:cs="Arial"/>
        </w:rPr>
        <w:t>%) y</w:t>
      </w:r>
      <w:r w:rsidR="00A93803" w:rsidRPr="00A262E4">
        <w:rPr>
          <w:rFonts w:ascii="Perpetua" w:hAnsi="Perpetua" w:cs="Arial"/>
        </w:rPr>
        <w:t xml:space="preserve"> múltiples (85</w:t>
      </w:r>
      <w:r w:rsidRPr="00A262E4">
        <w:rPr>
          <w:rFonts w:ascii="Perpetua" w:hAnsi="Perpetua" w:cs="Arial"/>
        </w:rPr>
        <w:t>%), con centro necrótico y bordes resaltados compatibles c</w:t>
      </w:r>
      <w:r w:rsidR="00985FAF" w:rsidRPr="00A262E4">
        <w:rPr>
          <w:rFonts w:ascii="Perpetua" w:hAnsi="Perpetua" w:cs="Arial"/>
        </w:rPr>
        <w:t>on</w:t>
      </w:r>
      <w:r w:rsidR="001203C7" w:rsidRPr="00A262E4">
        <w:rPr>
          <w:rFonts w:ascii="Perpetua" w:hAnsi="Perpetua" w:cs="Arial"/>
        </w:rPr>
        <w:t xml:space="preserve"> realces en anillo y nodular 74,</w:t>
      </w:r>
      <w:r w:rsidR="00985FAF" w:rsidRPr="00A262E4">
        <w:rPr>
          <w:rFonts w:ascii="Perpetua" w:hAnsi="Perpetua" w:cs="Arial"/>
        </w:rPr>
        <w:t>3%</w:t>
      </w:r>
      <w:r w:rsidR="001203C7" w:rsidRPr="00A262E4">
        <w:rPr>
          <w:rFonts w:ascii="Perpetua" w:hAnsi="Perpetua" w:cs="Arial"/>
        </w:rPr>
        <w:t xml:space="preserve"> y 34,</w:t>
      </w:r>
      <w:r w:rsidR="00985FAF" w:rsidRPr="00A262E4">
        <w:rPr>
          <w:rFonts w:ascii="Perpetua" w:hAnsi="Perpetua" w:cs="Arial"/>
        </w:rPr>
        <w:t>6% respectivamente</w:t>
      </w:r>
      <w:r w:rsidRPr="00A262E4">
        <w:rPr>
          <w:rFonts w:ascii="Perpetua" w:hAnsi="Perpetua" w:cs="Arial"/>
        </w:rPr>
        <w:t xml:space="preserve">. Aunque se plantea que la </w:t>
      </w:r>
      <w:r w:rsidR="0054733D" w:rsidRPr="00A262E4">
        <w:rPr>
          <w:rFonts w:ascii="Perpetua" w:hAnsi="Perpetua" w:cs="Arial"/>
        </w:rPr>
        <w:t xml:space="preserve">imagen por </w:t>
      </w:r>
      <w:r w:rsidRPr="00A262E4">
        <w:rPr>
          <w:rFonts w:ascii="Perpetua" w:hAnsi="Perpetua" w:cs="Arial"/>
        </w:rPr>
        <w:t>resonancia m</w:t>
      </w:r>
      <w:r w:rsidR="0054733D" w:rsidRPr="00A262E4">
        <w:rPr>
          <w:rFonts w:ascii="Perpetua" w:hAnsi="Perpetua" w:cs="Arial"/>
        </w:rPr>
        <w:t xml:space="preserve">agnética </w:t>
      </w:r>
      <w:r w:rsidRPr="00A262E4">
        <w:rPr>
          <w:rFonts w:ascii="Perpetua" w:hAnsi="Perpetua" w:cs="Arial"/>
        </w:rPr>
        <w:t xml:space="preserve"> </w:t>
      </w:r>
      <w:r w:rsidR="0054733D" w:rsidRPr="00A262E4">
        <w:rPr>
          <w:rFonts w:ascii="Perpetua" w:hAnsi="Perpetua" w:cs="Arial"/>
        </w:rPr>
        <w:t xml:space="preserve">es </w:t>
      </w:r>
      <w:r w:rsidRPr="00A262E4">
        <w:rPr>
          <w:rFonts w:ascii="Perpetua" w:hAnsi="Perpetua" w:cs="Arial"/>
        </w:rPr>
        <w:t>más s</w:t>
      </w:r>
      <w:r w:rsidR="0054733D" w:rsidRPr="00A262E4">
        <w:rPr>
          <w:rFonts w:ascii="Perpetua" w:hAnsi="Perpetua" w:cs="Arial"/>
        </w:rPr>
        <w:t>ensible que la TC, por lo que constituye</w:t>
      </w:r>
      <w:r w:rsidRPr="00A262E4">
        <w:rPr>
          <w:rFonts w:ascii="Perpetua" w:hAnsi="Perpetua" w:cs="Arial"/>
        </w:rPr>
        <w:t xml:space="preserve"> la técnica de elección</w:t>
      </w:r>
      <w:r w:rsidR="0054733D" w:rsidRPr="00A262E4">
        <w:rPr>
          <w:rFonts w:ascii="Perpetua" w:hAnsi="Perpetua" w:cs="Arial"/>
        </w:rPr>
        <w:t xml:space="preserve"> para el estudio de estos pacientes</w:t>
      </w:r>
      <w:r w:rsidRPr="00A262E4">
        <w:rPr>
          <w:rFonts w:ascii="Perpetua" w:hAnsi="Perpetua" w:cs="Arial"/>
        </w:rPr>
        <w:t>.</w:t>
      </w:r>
    </w:p>
    <w:p w14:paraId="756BB2B1" w14:textId="77777777" w:rsidR="002C6162" w:rsidRPr="00A262E4" w:rsidRDefault="002C6162" w:rsidP="00BB7313">
      <w:pPr>
        <w:spacing w:line="360" w:lineRule="auto"/>
        <w:jc w:val="both"/>
        <w:rPr>
          <w:rFonts w:ascii="Perpetua" w:hAnsi="Perpetua" w:cs="Arial"/>
        </w:rPr>
      </w:pPr>
    </w:p>
    <w:p w14:paraId="3FB3178D" w14:textId="77777777" w:rsidR="00D41BE6" w:rsidRPr="00A262E4" w:rsidRDefault="00D41BE6" w:rsidP="00BB7313">
      <w:pPr>
        <w:spacing w:line="360" w:lineRule="auto"/>
        <w:jc w:val="both"/>
        <w:rPr>
          <w:rFonts w:ascii="Perpetua" w:hAnsi="Perpetua" w:cs="Arial"/>
        </w:rPr>
      </w:pPr>
      <w:r w:rsidRPr="00A262E4">
        <w:rPr>
          <w:rFonts w:ascii="Perpetua" w:hAnsi="Perpetua" w:cs="Arial"/>
        </w:rPr>
        <w:t>Se observó un predominio de pacientes con terapia antirretroviral previa a la hospitalización</w:t>
      </w:r>
      <w:r w:rsidR="002C6162" w:rsidRPr="00A262E4">
        <w:rPr>
          <w:rFonts w:ascii="Perpetua" w:hAnsi="Perpetua" w:cs="Arial"/>
        </w:rPr>
        <w:t xml:space="preserve"> en esta investigación</w:t>
      </w:r>
      <w:r w:rsidRPr="00A262E4">
        <w:rPr>
          <w:rFonts w:ascii="Perpetua" w:hAnsi="Perpetua" w:cs="Arial"/>
        </w:rPr>
        <w:t>.</w:t>
      </w:r>
      <w:r w:rsidR="002C6162" w:rsidRPr="00A262E4">
        <w:rPr>
          <w:rFonts w:ascii="Perpetua" w:hAnsi="Perpetua" w:cs="Arial"/>
        </w:rPr>
        <w:t xml:space="preserve"> </w:t>
      </w:r>
      <w:r w:rsidRPr="00A262E4">
        <w:rPr>
          <w:rFonts w:ascii="Perpetua" w:hAnsi="Perpetua" w:cs="Arial"/>
        </w:rPr>
        <w:t>Lo cual pudiera producir como complicación un síndrome de reconstitución inmune (SRI) que trae como consecuencia un aumento de tamaño de las lesiones y un realce atípico tras la administració</w:t>
      </w:r>
      <w:r w:rsidR="00A07A70" w:rsidRPr="00A262E4">
        <w:rPr>
          <w:rFonts w:ascii="Perpetua" w:hAnsi="Perpetua" w:cs="Arial"/>
        </w:rPr>
        <w:t xml:space="preserve">n de contraste. Calero et. al </w:t>
      </w:r>
      <w:r w:rsidR="009163EF" w:rsidRPr="00A262E4">
        <w:rPr>
          <w:rFonts w:ascii="Perpetua" w:hAnsi="Perpetua" w:cs="Arial"/>
          <w:vertAlign w:val="superscript"/>
        </w:rPr>
        <w:t>(15</w:t>
      </w:r>
      <w:r w:rsidR="00A07A70" w:rsidRPr="00A262E4">
        <w:rPr>
          <w:rFonts w:ascii="Perpetua" w:hAnsi="Perpetua" w:cs="Arial"/>
          <w:vertAlign w:val="superscript"/>
        </w:rPr>
        <w:t>)</w:t>
      </w:r>
      <w:r w:rsidRPr="00A262E4">
        <w:rPr>
          <w:rFonts w:ascii="Perpetua" w:hAnsi="Perpetua" w:cs="Arial"/>
        </w:rPr>
        <w:t xml:space="preserve"> plantea</w:t>
      </w:r>
      <w:r w:rsidR="002C6162" w:rsidRPr="00A262E4">
        <w:rPr>
          <w:rFonts w:ascii="Perpetua" w:hAnsi="Perpetua" w:cs="Arial"/>
        </w:rPr>
        <w:t>ron</w:t>
      </w:r>
      <w:r w:rsidRPr="00A262E4">
        <w:rPr>
          <w:rFonts w:ascii="Perpetua" w:hAnsi="Perpetua" w:cs="Arial"/>
        </w:rPr>
        <w:t xml:space="preserve"> que esto se puede demostrar a</w:t>
      </w:r>
      <w:r w:rsidR="00672257" w:rsidRPr="00A262E4">
        <w:rPr>
          <w:rFonts w:ascii="Perpetua" w:hAnsi="Perpetua" w:cs="Arial"/>
        </w:rPr>
        <w:t xml:space="preserve"> través de resonancia m</w:t>
      </w:r>
      <w:r w:rsidR="002C6162" w:rsidRPr="00A262E4">
        <w:rPr>
          <w:rFonts w:ascii="Perpetua" w:hAnsi="Perpetua" w:cs="Arial"/>
        </w:rPr>
        <w:t xml:space="preserve">agnética, aunque es válido recalcar que este estudio tiene como limitación que no se </w:t>
      </w:r>
      <w:proofErr w:type="gramStart"/>
      <w:r w:rsidR="002C6162" w:rsidRPr="00A262E4">
        <w:rPr>
          <w:rFonts w:ascii="Perpetua" w:hAnsi="Perpetua" w:cs="Arial"/>
        </w:rPr>
        <w:t>le</w:t>
      </w:r>
      <w:proofErr w:type="gramEnd"/>
      <w:r w:rsidR="002C6162" w:rsidRPr="00A262E4">
        <w:rPr>
          <w:rFonts w:ascii="Perpetua" w:hAnsi="Perpetua" w:cs="Arial"/>
        </w:rPr>
        <w:t xml:space="preserve"> realizó Resonancia Magnética a todos los pacientes.</w:t>
      </w:r>
    </w:p>
    <w:p w14:paraId="549B61C0" w14:textId="77777777" w:rsidR="00D41BE6" w:rsidRPr="00A262E4" w:rsidRDefault="00D41BE6" w:rsidP="00BB7313">
      <w:pPr>
        <w:spacing w:line="360" w:lineRule="auto"/>
        <w:jc w:val="both"/>
        <w:rPr>
          <w:rFonts w:ascii="Perpetua" w:hAnsi="Perpetua" w:cs="Arial"/>
        </w:rPr>
      </w:pPr>
      <w:r w:rsidRPr="00A262E4">
        <w:rPr>
          <w:rFonts w:ascii="Perpetua" w:hAnsi="Perpetua" w:cs="Arial"/>
        </w:rPr>
        <w:t xml:space="preserve">Es continuo el interés en investigar los efectos clínicos, diagnósticos y terapéuticos relacionados con Toxoplasma </w:t>
      </w:r>
      <w:proofErr w:type="spellStart"/>
      <w:r w:rsidRPr="00A262E4">
        <w:rPr>
          <w:rFonts w:ascii="Perpetua" w:hAnsi="Perpetua" w:cs="Arial"/>
        </w:rPr>
        <w:t>gondii</w:t>
      </w:r>
      <w:proofErr w:type="spellEnd"/>
      <w:r w:rsidRPr="00A262E4">
        <w:rPr>
          <w:rFonts w:ascii="Perpetua" w:hAnsi="Perpetua" w:cs="Arial"/>
        </w:rPr>
        <w:t>, especialmente cuando</w:t>
      </w:r>
      <w:r w:rsidR="00672257" w:rsidRPr="00A262E4">
        <w:rPr>
          <w:rFonts w:ascii="Perpetua" w:hAnsi="Perpetua" w:cs="Arial"/>
        </w:rPr>
        <w:t xml:space="preserve"> los pacientes están</w:t>
      </w:r>
      <w:r w:rsidRPr="00A262E4">
        <w:rPr>
          <w:rFonts w:ascii="Perpetua" w:hAnsi="Perpetua" w:cs="Arial"/>
        </w:rPr>
        <w:t xml:space="preserve"> inmunocomprometidos. La comprensión de esta enfermedad es crucial para mejorar los resultados clínicos y desarrollar estrategias efectivas de prevención y tratamiento.</w:t>
      </w:r>
    </w:p>
    <w:p w14:paraId="6801E14F" w14:textId="77777777" w:rsidR="00D41BE6" w:rsidRPr="00A262E4" w:rsidRDefault="00D41BE6" w:rsidP="00BB7313">
      <w:pPr>
        <w:spacing w:line="360" w:lineRule="auto"/>
        <w:rPr>
          <w:rFonts w:ascii="Perpetua" w:hAnsi="Perpetua"/>
        </w:rPr>
      </w:pPr>
    </w:p>
    <w:p w14:paraId="2B2D7662" w14:textId="77777777" w:rsidR="00F44A90" w:rsidRPr="00A262E4" w:rsidRDefault="00F44A90" w:rsidP="00F44A90">
      <w:pPr>
        <w:rPr>
          <w:rFonts w:ascii="Perpetua" w:hAnsi="Perpetua" w:cs="Arial"/>
          <w:b/>
        </w:rPr>
      </w:pPr>
      <w:r w:rsidRPr="00A262E4">
        <w:rPr>
          <w:rFonts w:ascii="Perpetua" w:hAnsi="Perpetua" w:cs="Arial"/>
          <w:b/>
        </w:rPr>
        <w:t>CONCLUSIONES</w:t>
      </w:r>
    </w:p>
    <w:p w14:paraId="0A23498C" w14:textId="77777777" w:rsidR="00133280" w:rsidRPr="00A262E4" w:rsidRDefault="00133280" w:rsidP="00F44A90">
      <w:pPr>
        <w:rPr>
          <w:rFonts w:ascii="Perpetua" w:hAnsi="Perpetua" w:cs="Arial"/>
          <w:b/>
        </w:rPr>
      </w:pPr>
    </w:p>
    <w:p w14:paraId="06C93F54" w14:textId="77777777" w:rsidR="00133280" w:rsidRPr="00A262E4" w:rsidRDefault="00133280" w:rsidP="00484A28">
      <w:pPr>
        <w:spacing w:line="360" w:lineRule="auto"/>
        <w:jc w:val="both"/>
        <w:rPr>
          <w:rFonts w:ascii="Perpetua" w:hAnsi="Perpetua" w:cs="Arial"/>
          <w:b/>
        </w:rPr>
      </w:pPr>
      <w:r w:rsidRPr="00A262E4">
        <w:rPr>
          <w:rFonts w:ascii="Perpetua" w:hAnsi="Perpetua" w:cs="Arial"/>
        </w:rPr>
        <w:t xml:space="preserve">La </w:t>
      </w:r>
      <w:proofErr w:type="spellStart"/>
      <w:r w:rsidRPr="00A262E4">
        <w:rPr>
          <w:rFonts w:ascii="Perpetua" w:hAnsi="Perpetua" w:cs="Arial"/>
        </w:rPr>
        <w:t>neurotoxoplasmosis</w:t>
      </w:r>
      <w:proofErr w:type="spellEnd"/>
      <w:r w:rsidRPr="00A262E4">
        <w:rPr>
          <w:rFonts w:ascii="Perpetua" w:hAnsi="Perpetua" w:cs="Arial"/>
        </w:rPr>
        <w:t xml:space="preserve"> es </w:t>
      </w:r>
      <w:r w:rsidR="00405933" w:rsidRPr="00A262E4">
        <w:rPr>
          <w:rFonts w:ascii="Perpetua" w:hAnsi="Perpetua" w:cs="Arial"/>
        </w:rPr>
        <w:t>más</w:t>
      </w:r>
      <w:r w:rsidRPr="00A262E4">
        <w:rPr>
          <w:rFonts w:ascii="Perpetua" w:hAnsi="Perpetua" w:cs="Arial"/>
        </w:rPr>
        <w:t xml:space="preserve"> </w:t>
      </w:r>
      <w:r w:rsidR="00405933" w:rsidRPr="00A262E4">
        <w:rPr>
          <w:rFonts w:ascii="Perpetua" w:hAnsi="Perpetua" w:cs="Arial"/>
        </w:rPr>
        <w:t>frecuente</w:t>
      </w:r>
      <w:r w:rsidRPr="00A262E4">
        <w:rPr>
          <w:rFonts w:ascii="Perpetua" w:hAnsi="Perpetua" w:cs="Arial"/>
        </w:rPr>
        <w:t xml:space="preserve"> en el sexo masculino y en pacientes mayores de 38 años. Es común que se asocie con otras enfermedades</w:t>
      </w:r>
      <w:r w:rsidR="00DF6704" w:rsidRPr="00A262E4">
        <w:rPr>
          <w:rFonts w:ascii="Perpetua" w:hAnsi="Perpetua" w:cs="Arial"/>
        </w:rPr>
        <w:t>. Los pacientes con mayor conteo</w:t>
      </w:r>
      <w:r w:rsidR="0003762A" w:rsidRPr="00A262E4">
        <w:rPr>
          <w:rFonts w:ascii="Perpetua" w:hAnsi="Perpetua" w:cs="Arial"/>
        </w:rPr>
        <w:t xml:space="preserve"> de CD4 tienen</w:t>
      </w:r>
      <w:r w:rsidR="00405933" w:rsidRPr="00A262E4">
        <w:rPr>
          <w:rFonts w:ascii="Perpetua" w:hAnsi="Perpetua" w:cs="Arial"/>
        </w:rPr>
        <w:t xml:space="preserve"> una condición al egreso más favorable</w:t>
      </w:r>
      <w:r w:rsidR="00484A28" w:rsidRPr="00A262E4">
        <w:rPr>
          <w:rFonts w:ascii="Perpetua" w:hAnsi="Perpetua" w:cs="Arial"/>
        </w:rPr>
        <w:t xml:space="preserve">. El número de lesiones en la tomografía de cráneo y la localización </w:t>
      </w:r>
      <w:r w:rsidR="00DF6704" w:rsidRPr="00A262E4">
        <w:rPr>
          <w:rFonts w:ascii="Perpetua" w:hAnsi="Perpetua" w:cs="Arial"/>
        </w:rPr>
        <w:t>de las mismas</w:t>
      </w:r>
      <w:r w:rsidR="0039129A" w:rsidRPr="00A262E4">
        <w:rPr>
          <w:rFonts w:ascii="Perpetua" w:hAnsi="Perpetua" w:cs="Arial"/>
        </w:rPr>
        <w:t>, influye</w:t>
      </w:r>
      <w:r w:rsidR="00484A28" w:rsidRPr="00A262E4">
        <w:rPr>
          <w:rFonts w:ascii="Perpetua" w:hAnsi="Perpetua" w:cs="Arial"/>
        </w:rPr>
        <w:t xml:space="preserve"> en el pronóstico del paciente.</w:t>
      </w:r>
    </w:p>
    <w:p w14:paraId="718F2738" w14:textId="77777777" w:rsidR="006C18DE" w:rsidRPr="00A262E4" w:rsidRDefault="006C18DE" w:rsidP="000B2C8B">
      <w:pPr>
        <w:rPr>
          <w:rFonts w:ascii="Perpetua" w:hAnsi="Perpetua" w:cs="Arial"/>
          <w:b/>
        </w:rPr>
      </w:pPr>
    </w:p>
    <w:p w14:paraId="1BE087E8" w14:textId="77777777" w:rsidR="000B2C8B" w:rsidRPr="00A262E4" w:rsidRDefault="000B2C8B" w:rsidP="000B2C8B">
      <w:pPr>
        <w:rPr>
          <w:rFonts w:ascii="Perpetua" w:hAnsi="Perpetua" w:cs="Arial"/>
          <w:b/>
        </w:rPr>
      </w:pPr>
      <w:r w:rsidRPr="00A262E4">
        <w:rPr>
          <w:rFonts w:ascii="Perpetua" w:hAnsi="Perpetua" w:cs="Arial"/>
          <w:b/>
        </w:rPr>
        <w:t>REFERENCIAS BIBLIOGRÁFICAS</w:t>
      </w:r>
    </w:p>
    <w:p w14:paraId="0FCA8CCD" w14:textId="77777777" w:rsidR="00FB3352" w:rsidRPr="00A262E4" w:rsidRDefault="00FB3352" w:rsidP="000B2C8B">
      <w:pPr>
        <w:rPr>
          <w:rFonts w:ascii="Perpetua" w:hAnsi="Perpetua" w:cs="Arial"/>
          <w:b/>
        </w:rPr>
      </w:pPr>
    </w:p>
    <w:p w14:paraId="68884CD1" w14:textId="77777777" w:rsidR="00FB3352" w:rsidRPr="00A262E4" w:rsidRDefault="00FB3352" w:rsidP="000B2C8B">
      <w:pPr>
        <w:rPr>
          <w:rFonts w:ascii="Perpetua" w:hAnsi="Perpetua" w:cs="Arial"/>
          <w:b/>
        </w:rPr>
      </w:pPr>
    </w:p>
    <w:p w14:paraId="4FF7DE8B" w14:textId="77777777" w:rsidR="00FB3352" w:rsidRPr="00A262E4" w:rsidRDefault="00FB3352" w:rsidP="00CA52BC">
      <w:pPr>
        <w:pStyle w:val="Prrafodelista"/>
        <w:numPr>
          <w:ilvl w:val="0"/>
          <w:numId w:val="1"/>
        </w:numPr>
        <w:spacing w:line="360" w:lineRule="auto"/>
        <w:jc w:val="both"/>
        <w:rPr>
          <w:rFonts w:ascii="Perpetua" w:hAnsi="Perpetua" w:cs="Arial"/>
          <w:sz w:val="24"/>
          <w:szCs w:val="24"/>
        </w:rPr>
      </w:pPr>
      <w:r w:rsidRPr="00A262E4">
        <w:rPr>
          <w:rFonts w:ascii="Perpetua" w:hAnsi="Perpetua" w:cs="Arial"/>
          <w:sz w:val="24"/>
          <w:szCs w:val="24"/>
        </w:rPr>
        <w:t xml:space="preserve">Zamora R, García JJ, </w:t>
      </w:r>
      <w:proofErr w:type="spellStart"/>
      <w:r w:rsidRPr="00A262E4">
        <w:rPr>
          <w:rFonts w:ascii="Perpetua" w:hAnsi="Perpetua" w:cs="Arial"/>
          <w:sz w:val="24"/>
          <w:szCs w:val="24"/>
        </w:rPr>
        <w:t>Guilarte</w:t>
      </w:r>
      <w:proofErr w:type="spellEnd"/>
      <w:r w:rsidRPr="00A262E4">
        <w:rPr>
          <w:rFonts w:ascii="Perpetua" w:hAnsi="Perpetua" w:cs="Arial"/>
          <w:sz w:val="24"/>
          <w:szCs w:val="24"/>
        </w:rPr>
        <w:t xml:space="preserve"> CJ. Cerebral Toxoplasmosis In </w:t>
      </w:r>
      <w:proofErr w:type="spellStart"/>
      <w:r w:rsidRPr="00A262E4">
        <w:rPr>
          <w:rFonts w:ascii="Perpetua" w:hAnsi="Perpetua" w:cs="Arial"/>
          <w:sz w:val="24"/>
          <w:szCs w:val="24"/>
        </w:rPr>
        <w:t>An</w:t>
      </w:r>
      <w:proofErr w:type="spellEnd"/>
      <w:r w:rsidRPr="00A262E4">
        <w:rPr>
          <w:rFonts w:ascii="Perpetua" w:hAnsi="Perpetua" w:cs="Arial"/>
          <w:sz w:val="24"/>
          <w:szCs w:val="24"/>
        </w:rPr>
        <w:t xml:space="preserve"> </w:t>
      </w:r>
      <w:proofErr w:type="spellStart"/>
      <w:r w:rsidRPr="00A262E4">
        <w:rPr>
          <w:rFonts w:ascii="Perpetua" w:hAnsi="Perpetua" w:cs="Arial"/>
          <w:sz w:val="24"/>
          <w:szCs w:val="24"/>
        </w:rPr>
        <w:t>Immunocompetent</w:t>
      </w:r>
      <w:proofErr w:type="spellEnd"/>
      <w:r w:rsidRPr="00A262E4">
        <w:rPr>
          <w:rFonts w:ascii="Perpetua" w:hAnsi="Perpetua" w:cs="Arial"/>
          <w:sz w:val="24"/>
          <w:szCs w:val="24"/>
        </w:rPr>
        <w:t xml:space="preserve"> </w:t>
      </w:r>
      <w:proofErr w:type="spellStart"/>
      <w:r w:rsidRPr="00A262E4">
        <w:rPr>
          <w:rFonts w:ascii="Perpetua" w:hAnsi="Perpetua" w:cs="Arial"/>
          <w:sz w:val="24"/>
          <w:szCs w:val="24"/>
        </w:rPr>
        <w:t>Patient</w:t>
      </w:r>
      <w:proofErr w:type="spellEnd"/>
      <w:r w:rsidRPr="00A262E4">
        <w:rPr>
          <w:rFonts w:ascii="Perpetua" w:hAnsi="Perpetua" w:cs="Arial"/>
          <w:sz w:val="24"/>
          <w:szCs w:val="24"/>
        </w:rPr>
        <w:t xml:space="preserve">. </w:t>
      </w:r>
      <w:proofErr w:type="spellStart"/>
      <w:r w:rsidRPr="00A262E4">
        <w:rPr>
          <w:rFonts w:ascii="Perpetua" w:hAnsi="Perpetua" w:cs="Arial"/>
          <w:sz w:val="24"/>
          <w:szCs w:val="24"/>
        </w:rPr>
        <w:t>enciMED</w:t>
      </w:r>
      <w:proofErr w:type="spellEnd"/>
      <w:r w:rsidRPr="00A262E4">
        <w:rPr>
          <w:rFonts w:ascii="Perpetua" w:hAnsi="Perpetua" w:cs="Arial"/>
          <w:sz w:val="24"/>
          <w:szCs w:val="24"/>
        </w:rPr>
        <w:t xml:space="preserve"> Revista Cubana de Investi</w:t>
      </w:r>
      <w:r w:rsidR="00EB0E0F" w:rsidRPr="00A262E4">
        <w:rPr>
          <w:rFonts w:ascii="Perpetua" w:hAnsi="Perpetua" w:cs="Arial"/>
          <w:sz w:val="24"/>
          <w:szCs w:val="24"/>
        </w:rPr>
        <w:t xml:space="preserve">gaciones Biomédicas. </w:t>
      </w:r>
      <w:r w:rsidRPr="00A262E4">
        <w:rPr>
          <w:rFonts w:ascii="Perpetua" w:hAnsi="Perpetua" w:cs="Arial"/>
          <w:sz w:val="24"/>
          <w:szCs w:val="24"/>
        </w:rPr>
        <w:t xml:space="preserve">2022; 41:e1645. </w:t>
      </w:r>
      <w:hyperlink r:id="rId21" w:history="1">
        <w:r w:rsidRPr="00A262E4">
          <w:rPr>
            <w:rStyle w:val="Hipervnculo"/>
            <w:rFonts w:ascii="Perpetua" w:hAnsi="Perpetua" w:cs="Arial"/>
            <w:sz w:val="24"/>
            <w:szCs w:val="24"/>
          </w:rPr>
          <w:t>https://revibiomedica.sld.cu/index.php/ibi/article/download/1645/1112</w:t>
        </w:r>
      </w:hyperlink>
      <w:r w:rsidR="00B07C46" w:rsidRPr="00A262E4">
        <w:rPr>
          <w:rStyle w:val="Hipervnculo"/>
          <w:rFonts w:ascii="Perpetua" w:hAnsi="Perpetua" w:cs="Arial"/>
          <w:sz w:val="24"/>
          <w:szCs w:val="24"/>
        </w:rPr>
        <w:t>.</w:t>
      </w:r>
    </w:p>
    <w:p w14:paraId="7321548F" w14:textId="77777777" w:rsidR="00FB3352" w:rsidRPr="00A262E4" w:rsidRDefault="00FB3352" w:rsidP="00CA52BC">
      <w:pPr>
        <w:spacing w:line="360" w:lineRule="auto"/>
        <w:jc w:val="both"/>
        <w:rPr>
          <w:rFonts w:ascii="Perpetua" w:hAnsi="Perpetua" w:cs="Arial"/>
        </w:rPr>
      </w:pPr>
    </w:p>
    <w:p w14:paraId="60B5D886" w14:textId="77777777" w:rsidR="001D7571" w:rsidRPr="00A262E4" w:rsidRDefault="001D7571" w:rsidP="00CA52BC">
      <w:pPr>
        <w:pStyle w:val="Prrafodelista"/>
        <w:numPr>
          <w:ilvl w:val="0"/>
          <w:numId w:val="1"/>
        </w:numPr>
        <w:spacing w:line="360" w:lineRule="auto"/>
        <w:jc w:val="both"/>
        <w:rPr>
          <w:rFonts w:ascii="Perpetua" w:hAnsi="Perpetua" w:cs="Arial"/>
          <w:sz w:val="24"/>
          <w:szCs w:val="24"/>
          <w:lang w:val="en-US"/>
        </w:rPr>
      </w:pPr>
      <w:r w:rsidRPr="00A262E4">
        <w:rPr>
          <w:rFonts w:ascii="Perpetua" w:hAnsi="Perpetua" w:cs="Arial"/>
          <w:sz w:val="24"/>
          <w:szCs w:val="24"/>
          <w:lang w:val="en-US"/>
        </w:rPr>
        <w:t xml:space="preserve">Huang H, Thomas F. CNS Toxoplasmosis in HIV. Neurology, Drugs and Diseases. 2022. </w:t>
      </w:r>
      <w:hyperlink r:id="rId22" w:history="1">
        <w:r w:rsidRPr="00A262E4">
          <w:rPr>
            <w:rStyle w:val="Hipervnculo"/>
            <w:rFonts w:ascii="Perpetua" w:hAnsi="Perpetua" w:cs="Arial"/>
            <w:sz w:val="24"/>
            <w:szCs w:val="24"/>
            <w:lang w:val="en-US"/>
          </w:rPr>
          <w:t>https://emedicine.medscape.com/article/1167298-overview</w:t>
        </w:r>
      </w:hyperlink>
      <w:r w:rsidR="00B07C46" w:rsidRPr="00A262E4">
        <w:rPr>
          <w:rStyle w:val="Hipervnculo"/>
          <w:rFonts w:ascii="Perpetua" w:hAnsi="Perpetua" w:cs="Arial"/>
          <w:sz w:val="24"/>
          <w:szCs w:val="24"/>
          <w:lang w:val="en-US"/>
        </w:rPr>
        <w:t>.</w:t>
      </w:r>
    </w:p>
    <w:p w14:paraId="3B408025" w14:textId="77777777" w:rsidR="00FB3352" w:rsidRPr="00A262E4" w:rsidRDefault="00FB3352" w:rsidP="00FB3352">
      <w:pPr>
        <w:jc w:val="both"/>
        <w:rPr>
          <w:rFonts w:ascii="Perpetua" w:hAnsi="Perpetua" w:cs="Arial"/>
          <w:lang w:val="en-US"/>
        </w:rPr>
      </w:pPr>
    </w:p>
    <w:p w14:paraId="3480E1C3" w14:textId="77777777" w:rsidR="00FB3352" w:rsidRPr="00A262E4" w:rsidRDefault="00FB3352" w:rsidP="00CA52BC">
      <w:pPr>
        <w:pStyle w:val="Prrafodelista"/>
        <w:numPr>
          <w:ilvl w:val="0"/>
          <w:numId w:val="1"/>
        </w:numPr>
        <w:spacing w:line="360" w:lineRule="auto"/>
        <w:jc w:val="both"/>
        <w:rPr>
          <w:rFonts w:ascii="Perpetua" w:hAnsi="Perpetua" w:cs="Arial"/>
          <w:sz w:val="24"/>
          <w:szCs w:val="24"/>
          <w:lang w:val="en-US"/>
        </w:rPr>
      </w:pPr>
      <w:r w:rsidRPr="00A262E4">
        <w:rPr>
          <w:rFonts w:ascii="Perpetua" w:hAnsi="Perpetua" w:cs="Arial"/>
          <w:sz w:val="24"/>
          <w:szCs w:val="24"/>
        </w:rPr>
        <w:t xml:space="preserve">Vasallo C, Pérez LL, Valladares M, </w:t>
      </w:r>
      <w:proofErr w:type="spellStart"/>
      <w:r w:rsidRPr="00A262E4">
        <w:rPr>
          <w:rFonts w:ascii="Perpetua" w:hAnsi="Perpetua" w:cs="Arial"/>
          <w:sz w:val="24"/>
          <w:szCs w:val="24"/>
        </w:rPr>
        <w:t>Lafont</w:t>
      </w:r>
      <w:proofErr w:type="spellEnd"/>
      <w:r w:rsidRPr="00A262E4">
        <w:rPr>
          <w:rFonts w:ascii="Perpetua" w:hAnsi="Perpetua" w:cs="Arial"/>
          <w:sz w:val="24"/>
          <w:szCs w:val="24"/>
        </w:rPr>
        <w:t xml:space="preserve"> P. </w:t>
      </w:r>
      <w:proofErr w:type="spellStart"/>
      <w:r w:rsidRPr="00A262E4">
        <w:rPr>
          <w:rFonts w:ascii="Perpetua" w:hAnsi="Perpetua" w:cs="Arial"/>
          <w:sz w:val="24"/>
          <w:szCs w:val="24"/>
        </w:rPr>
        <w:t>Neurotoxoplasmosis</w:t>
      </w:r>
      <w:proofErr w:type="spellEnd"/>
      <w:r w:rsidRPr="00A262E4">
        <w:rPr>
          <w:rFonts w:ascii="Perpetua" w:hAnsi="Perpetua" w:cs="Arial"/>
          <w:sz w:val="24"/>
          <w:szCs w:val="24"/>
        </w:rPr>
        <w:t>. Enfermedad oportunista en paciente con virus de la inmunodeficiencia humana</w:t>
      </w:r>
      <w:r w:rsidR="00651413" w:rsidRPr="00A262E4">
        <w:rPr>
          <w:rFonts w:ascii="Perpetua" w:hAnsi="Perpetua" w:cs="Arial"/>
          <w:sz w:val="24"/>
          <w:szCs w:val="24"/>
        </w:rPr>
        <w:t>.</w:t>
      </w:r>
      <w:r w:rsidRPr="00A262E4">
        <w:rPr>
          <w:rFonts w:ascii="Perpetua" w:hAnsi="Perpetua" w:cs="Arial"/>
          <w:sz w:val="24"/>
          <w:szCs w:val="24"/>
        </w:rPr>
        <w:t xml:space="preserve"> </w:t>
      </w:r>
      <w:r w:rsidRPr="00A262E4">
        <w:rPr>
          <w:rFonts w:ascii="Perpetua" w:hAnsi="Perpetua" w:cs="Arial"/>
          <w:sz w:val="24"/>
          <w:szCs w:val="24"/>
          <w:lang w:val="en-US"/>
        </w:rPr>
        <w:t>UNIMED</w:t>
      </w:r>
      <w:r w:rsidR="003E017A" w:rsidRPr="00A262E4">
        <w:rPr>
          <w:rFonts w:ascii="Perpetua" w:hAnsi="Perpetua" w:cs="Arial"/>
          <w:sz w:val="24"/>
          <w:szCs w:val="24"/>
          <w:lang w:val="en-US"/>
        </w:rPr>
        <w:t>. 2022; 4(3).</w:t>
      </w:r>
      <w:r w:rsidRPr="00A262E4">
        <w:rPr>
          <w:rFonts w:ascii="Perpetua" w:hAnsi="Perpetua" w:cs="Arial"/>
          <w:sz w:val="24"/>
          <w:szCs w:val="24"/>
          <w:lang w:val="en-US"/>
        </w:rPr>
        <w:t xml:space="preserve"> </w:t>
      </w:r>
      <w:hyperlink r:id="rId23" w:history="1">
        <w:r w:rsidRPr="00A262E4">
          <w:rPr>
            <w:rStyle w:val="Hipervnculo"/>
            <w:rFonts w:ascii="Perpetua" w:hAnsi="Perpetua" w:cs="Arial"/>
            <w:sz w:val="24"/>
            <w:szCs w:val="24"/>
            <w:lang w:val="en-US"/>
          </w:rPr>
          <w:t xml:space="preserve">https://revunimed.sld.cu/ind </w:t>
        </w:r>
        <w:proofErr w:type="spellStart"/>
        <w:r w:rsidRPr="00A262E4">
          <w:rPr>
            <w:rStyle w:val="Hipervnculo"/>
            <w:rFonts w:ascii="Perpetua" w:hAnsi="Perpetua" w:cs="Arial"/>
            <w:sz w:val="24"/>
            <w:szCs w:val="24"/>
            <w:lang w:val="en-US"/>
          </w:rPr>
          <w:t>ex.php</w:t>
        </w:r>
        <w:proofErr w:type="spellEnd"/>
        <w:r w:rsidRPr="00A262E4">
          <w:rPr>
            <w:rStyle w:val="Hipervnculo"/>
            <w:rFonts w:ascii="Perpetua" w:hAnsi="Perpetua" w:cs="Arial"/>
            <w:sz w:val="24"/>
            <w:szCs w:val="24"/>
            <w:lang w:val="en-US"/>
          </w:rPr>
          <w:t>/</w:t>
        </w:r>
        <w:proofErr w:type="spellStart"/>
        <w:r w:rsidRPr="00A262E4">
          <w:rPr>
            <w:rStyle w:val="Hipervnculo"/>
            <w:rFonts w:ascii="Perpetua" w:hAnsi="Perpetua" w:cs="Arial"/>
            <w:sz w:val="24"/>
            <w:szCs w:val="24"/>
            <w:lang w:val="en-US"/>
          </w:rPr>
          <w:t>revestud</w:t>
        </w:r>
        <w:proofErr w:type="spellEnd"/>
        <w:r w:rsidRPr="00A262E4">
          <w:rPr>
            <w:rStyle w:val="Hipervnculo"/>
            <w:rFonts w:ascii="Perpetua" w:hAnsi="Perpetua" w:cs="Arial"/>
            <w:sz w:val="24"/>
            <w:szCs w:val="24"/>
            <w:lang w:val="en-US"/>
          </w:rPr>
          <w:t>/article/view /190</w:t>
        </w:r>
      </w:hyperlink>
      <w:r w:rsidR="00B07C46" w:rsidRPr="00A262E4">
        <w:rPr>
          <w:rStyle w:val="Hipervnculo"/>
          <w:rFonts w:ascii="Perpetua" w:hAnsi="Perpetua" w:cs="Arial"/>
          <w:sz w:val="24"/>
          <w:szCs w:val="24"/>
          <w:lang w:val="en-US"/>
        </w:rPr>
        <w:t>.</w:t>
      </w:r>
      <w:r w:rsidRPr="00A262E4">
        <w:rPr>
          <w:rFonts w:ascii="Perpetua" w:hAnsi="Perpetua" w:cs="Arial"/>
          <w:sz w:val="24"/>
          <w:szCs w:val="24"/>
          <w:lang w:val="en-US"/>
        </w:rPr>
        <w:t xml:space="preserve"> </w:t>
      </w:r>
    </w:p>
    <w:p w14:paraId="4F61B2E8" w14:textId="77777777" w:rsidR="001D7571" w:rsidRPr="00A262E4" w:rsidRDefault="001D7571" w:rsidP="001D7571">
      <w:pPr>
        <w:pStyle w:val="Prrafodelista"/>
        <w:rPr>
          <w:rFonts w:ascii="Perpetua" w:hAnsi="Perpetua" w:cs="Arial"/>
          <w:sz w:val="24"/>
          <w:szCs w:val="24"/>
          <w:lang w:val="en-US"/>
        </w:rPr>
      </w:pPr>
    </w:p>
    <w:p w14:paraId="7219498B" w14:textId="77777777" w:rsidR="00EE65AD" w:rsidRPr="00A262E4" w:rsidRDefault="00EE65AD" w:rsidP="00CA52BC">
      <w:pPr>
        <w:pStyle w:val="Prrafodelista"/>
        <w:numPr>
          <w:ilvl w:val="0"/>
          <w:numId w:val="1"/>
        </w:numPr>
        <w:spacing w:line="360" w:lineRule="auto"/>
        <w:jc w:val="both"/>
        <w:rPr>
          <w:rStyle w:val="Hipervnculo"/>
          <w:rFonts w:ascii="Perpetua" w:hAnsi="Perpetua" w:cs="Arial"/>
          <w:color w:val="auto"/>
          <w:sz w:val="24"/>
          <w:szCs w:val="24"/>
          <w:u w:val="none"/>
        </w:rPr>
      </w:pPr>
      <w:proofErr w:type="spellStart"/>
      <w:r w:rsidRPr="00A262E4">
        <w:rPr>
          <w:rFonts w:ascii="Perpetua" w:hAnsi="Perpetua" w:cs="Arial"/>
          <w:sz w:val="24"/>
          <w:szCs w:val="24"/>
        </w:rPr>
        <w:t>Oconor</w:t>
      </w:r>
      <w:proofErr w:type="spellEnd"/>
      <w:r w:rsidRPr="00A262E4">
        <w:rPr>
          <w:rFonts w:ascii="Perpetua" w:hAnsi="Perpetua" w:cs="Arial"/>
          <w:sz w:val="24"/>
          <w:szCs w:val="24"/>
        </w:rPr>
        <w:t xml:space="preserve"> Y, Reyes C, Salomón JA, Rodríguez L. Aspectos </w:t>
      </w:r>
      <w:proofErr w:type="spellStart"/>
      <w:r w:rsidRPr="00A262E4">
        <w:rPr>
          <w:rFonts w:ascii="Perpetua" w:hAnsi="Perpetua" w:cs="Arial"/>
          <w:sz w:val="24"/>
          <w:szCs w:val="24"/>
        </w:rPr>
        <w:t>clínicoepidemiológicos</w:t>
      </w:r>
      <w:proofErr w:type="spellEnd"/>
      <w:r w:rsidRPr="00A262E4">
        <w:rPr>
          <w:rFonts w:ascii="Perpetua" w:hAnsi="Perpetua" w:cs="Arial"/>
          <w:sz w:val="24"/>
          <w:szCs w:val="24"/>
        </w:rPr>
        <w:t xml:space="preserve"> e </w:t>
      </w:r>
      <w:proofErr w:type="spellStart"/>
      <w:r w:rsidRPr="00A262E4">
        <w:rPr>
          <w:rFonts w:ascii="Perpetua" w:hAnsi="Perpetua" w:cs="Arial"/>
          <w:sz w:val="24"/>
          <w:szCs w:val="24"/>
        </w:rPr>
        <w:t>imagenológicos</w:t>
      </w:r>
      <w:proofErr w:type="spellEnd"/>
      <w:r w:rsidRPr="00A262E4">
        <w:rPr>
          <w:rFonts w:ascii="Perpetua" w:hAnsi="Perpetua" w:cs="Arial"/>
          <w:sz w:val="24"/>
          <w:szCs w:val="24"/>
        </w:rPr>
        <w:t xml:space="preserve"> de pacientes con virus de inmunodeficiencia humana/sida y diagnóstico de </w:t>
      </w:r>
      <w:proofErr w:type="spellStart"/>
      <w:r w:rsidRPr="00A262E4">
        <w:rPr>
          <w:rFonts w:ascii="Perpetua" w:hAnsi="Perpetua" w:cs="Arial"/>
          <w:sz w:val="24"/>
          <w:szCs w:val="24"/>
        </w:rPr>
        <w:t>neurotoxoplasmosis</w:t>
      </w:r>
      <w:proofErr w:type="spellEnd"/>
      <w:r w:rsidRPr="00A262E4">
        <w:rPr>
          <w:rFonts w:ascii="Perpetua" w:hAnsi="Perpetua" w:cs="Arial"/>
          <w:sz w:val="24"/>
          <w:szCs w:val="24"/>
        </w:rPr>
        <w:t>. Revista Médica</w:t>
      </w:r>
      <w:r w:rsidR="00612633" w:rsidRPr="00A262E4">
        <w:rPr>
          <w:rFonts w:ascii="Perpetua" w:hAnsi="Perpetua" w:cs="Arial"/>
          <w:sz w:val="24"/>
          <w:szCs w:val="24"/>
        </w:rPr>
        <w:t xml:space="preserve"> de Santiago de Cuba. 2022; 26(</w:t>
      </w:r>
      <w:r w:rsidRPr="00A262E4">
        <w:rPr>
          <w:rFonts w:ascii="Perpetua" w:hAnsi="Perpetua" w:cs="Arial"/>
          <w:sz w:val="24"/>
          <w:szCs w:val="24"/>
        </w:rPr>
        <w:t>6</w:t>
      </w:r>
      <w:r w:rsidR="00612633" w:rsidRPr="00A262E4">
        <w:rPr>
          <w:rFonts w:ascii="Perpetua" w:hAnsi="Perpetua" w:cs="Arial"/>
          <w:sz w:val="24"/>
          <w:szCs w:val="24"/>
        </w:rPr>
        <w:t>)</w:t>
      </w:r>
      <w:r w:rsidRPr="00A262E4">
        <w:rPr>
          <w:rFonts w:ascii="Perpetua" w:hAnsi="Perpetua" w:cs="Arial"/>
          <w:sz w:val="24"/>
          <w:szCs w:val="24"/>
        </w:rPr>
        <w:t xml:space="preserve">. </w:t>
      </w:r>
      <w:hyperlink r:id="rId24" w:history="1">
        <w:r w:rsidRPr="00A262E4">
          <w:rPr>
            <w:rStyle w:val="Hipervnculo"/>
            <w:rFonts w:ascii="Perpetua" w:hAnsi="Perpetua" w:cs="Arial"/>
            <w:sz w:val="24"/>
            <w:szCs w:val="24"/>
          </w:rPr>
          <w:t>https://medisan.sld.cu/index.php/san/article/view/4373</w:t>
        </w:r>
      </w:hyperlink>
      <w:r w:rsidR="00B07C46" w:rsidRPr="00A262E4">
        <w:rPr>
          <w:rStyle w:val="Hipervnculo"/>
          <w:rFonts w:ascii="Perpetua" w:hAnsi="Perpetua" w:cs="Arial"/>
          <w:sz w:val="24"/>
          <w:szCs w:val="24"/>
        </w:rPr>
        <w:t>.</w:t>
      </w:r>
    </w:p>
    <w:p w14:paraId="4F273C7A" w14:textId="77777777" w:rsidR="00EE65AD" w:rsidRPr="00A262E4" w:rsidRDefault="00EE65AD" w:rsidP="00EE65AD">
      <w:pPr>
        <w:pStyle w:val="Prrafodelista"/>
        <w:rPr>
          <w:rStyle w:val="Hipervnculo"/>
          <w:rFonts w:ascii="Perpetua" w:hAnsi="Perpetua" w:cs="Arial"/>
          <w:color w:val="auto"/>
          <w:sz w:val="24"/>
          <w:szCs w:val="24"/>
          <w:u w:val="none"/>
        </w:rPr>
      </w:pPr>
    </w:p>
    <w:p w14:paraId="2F47EC36" w14:textId="77777777" w:rsidR="00EE65AD" w:rsidRPr="00A262E4" w:rsidRDefault="007F1DF9" w:rsidP="007949A6">
      <w:pPr>
        <w:pStyle w:val="Prrafodelista"/>
        <w:numPr>
          <w:ilvl w:val="0"/>
          <w:numId w:val="1"/>
        </w:numPr>
        <w:spacing w:line="360" w:lineRule="auto"/>
        <w:jc w:val="both"/>
        <w:rPr>
          <w:rStyle w:val="Hipervnculo"/>
          <w:rFonts w:ascii="Perpetua" w:hAnsi="Perpetua" w:cs="Arial"/>
          <w:color w:val="auto"/>
          <w:sz w:val="24"/>
          <w:szCs w:val="24"/>
          <w:u w:val="none"/>
        </w:rPr>
      </w:pPr>
      <w:r w:rsidRPr="00A262E4">
        <w:rPr>
          <w:rStyle w:val="Hipervnculo"/>
          <w:rFonts w:ascii="Perpetua" w:hAnsi="Perpetua" w:cs="Arial"/>
          <w:color w:val="auto"/>
          <w:sz w:val="24"/>
          <w:szCs w:val="24"/>
          <w:u w:val="none"/>
        </w:rPr>
        <w:t>González</w:t>
      </w:r>
      <w:r w:rsidR="00EE65AD" w:rsidRPr="00A262E4">
        <w:rPr>
          <w:rStyle w:val="Hipervnculo"/>
          <w:rFonts w:ascii="Perpetua" w:hAnsi="Perpetua" w:cs="Arial"/>
          <w:color w:val="auto"/>
          <w:sz w:val="24"/>
          <w:szCs w:val="24"/>
          <w:u w:val="none"/>
        </w:rPr>
        <w:t xml:space="preserve"> Espinosa LE, </w:t>
      </w:r>
      <w:proofErr w:type="spellStart"/>
      <w:r w:rsidR="00EE65AD" w:rsidRPr="00A262E4">
        <w:rPr>
          <w:rStyle w:val="Hipervnculo"/>
          <w:rFonts w:ascii="Perpetua" w:hAnsi="Perpetua" w:cs="Arial"/>
          <w:color w:val="auto"/>
          <w:sz w:val="24"/>
          <w:szCs w:val="24"/>
          <w:u w:val="none"/>
        </w:rPr>
        <w:t>Riol</w:t>
      </w:r>
      <w:proofErr w:type="spellEnd"/>
      <w:r w:rsidR="00EE65AD" w:rsidRPr="00A262E4">
        <w:rPr>
          <w:rStyle w:val="Hipervnculo"/>
          <w:rFonts w:ascii="Perpetua" w:hAnsi="Perpetua" w:cs="Arial"/>
          <w:color w:val="auto"/>
          <w:sz w:val="24"/>
          <w:szCs w:val="24"/>
          <w:u w:val="none"/>
        </w:rPr>
        <w:t xml:space="preserve"> Lozano JM, </w:t>
      </w:r>
      <w:r w:rsidRPr="00A262E4">
        <w:rPr>
          <w:rStyle w:val="Hipervnculo"/>
          <w:rFonts w:ascii="Perpetua" w:hAnsi="Perpetua" w:cs="Arial"/>
          <w:color w:val="auto"/>
          <w:sz w:val="24"/>
          <w:szCs w:val="24"/>
          <w:u w:val="none"/>
        </w:rPr>
        <w:t>Gómez</w:t>
      </w:r>
      <w:r w:rsidR="00EE65AD" w:rsidRPr="00A262E4">
        <w:rPr>
          <w:rStyle w:val="Hipervnculo"/>
          <w:rFonts w:ascii="Perpetua" w:hAnsi="Perpetua" w:cs="Arial"/>
          <w:color w:val="auto"/>
          <w:sz w:val="24"/>
          <w:szCs w:val="24"/>
          <w:u w:val="none"/>
        </w:rPr>
        <w:t xml:space="preserve"> Viera N, Garzón </w:t>
      </w:r>
      <w:proofErr w:type="spellStart"/>
      <w:r w:rsidR="00EE65AD" w:rsidRPr="00A262E4">
        <w:rPr>
          <w:rStyle w:val="Hipervnculo"/>
          <w:rFonts w:ascii="Perpetua" w:hAnsi="Perpetua" w:cs="Arial"/>
          <w:color w:val="auto"/>
          <w:sz w:val="24"/>
          <w:szCs w:val="24"/>
          <w:u w:val="none"/>
        </w:rPr>
        <w:t>Cutiño</w:t>
      </w:r>
      <w:proofErr w:type="spellEnd"/>
      <w:r w:rsidR="00EE65AD" w:rsidRPr="00A262E4">
        <w:rPr>
          <w:rStyle w:val="Hipervnculo"/>
          <w:rFonts w:ascii="Perpetua" w:hAnsi="Perpetua" w:cs="Arial"/>
          <w:color w:val="auto"/>
          <w:sz w:val="24"/>
          <w:szCs w:val="24"/>
          <w:u w:val="none"/>
        </w:rPr>
        <w:t xml:space="preserve"> L, Dueñas Ojeda Y.</w:t>
      </w:r>
      <w:r w:rsidR="00695AAF" w:rsidRPr="00A262E4">
        <w:rPr>
          <w:rStyle w:val="Hipervnculo"/>
          <w:rFonts w:ascii="Perpetua" w:hAnsi="Perpetua" w:cs="Arial"/>
          <w:color w:val="auto"/>
          <w:sz w:val="24"/>
          <w:szCs w:val="24"/>
          <w:u w:val="none"/>
        </w:rPr>
        <w:t xml:space="preserve"> </w:t>
      </w:r>
      <w:proofErr w:type="spellStart"/>
      <w:r w:rsidRPr="00A262E4">
        <w:rPr>
          <w:rStyle w:val="Hipervnculo"/>
          <w:rFonts w:ascii="Perpetua" w:hAnsi="Perpetua" w:cs="Arial"/>
          <w:color w:val="auto"/>
          <w:sz w:val="24"/>
          <w:szCs w:val="24"/>
          <w:u w:val="none"/>
        </w:rPr>
        <w:t>Neurotoxoplasmosis</w:t>
      </w:r>
      <w:proofErr w:type="spellEnd"/>
      <w:r w:rsidRPr="00A262E4">
        <w:rPr>
          <w:rStyle w:val="Hipervnculo"/>
          <w:rFonts w:ascii="Perpetua" w:hAnsi="Perpetua" w:cs="Arial"/>
          <w:color w:val="auto"/>
          <w:sz w:val="24"/>
          <w:szCs w:val="24"/>
          <w:u w:val="none"/>
        </w:rPr>
        <w:t xml:space="preserve"> como complicación neurológica de la infección por el virus de la inmunodeficiencia humana</w:t>
      </w:r>
      <w:r w:rsidR="00695AAF" w:rsidRPr="00A262E4">
        <w:rPr>
          <w:rStyle w:val="Hipervnculo"/>
          <w:rFonts w:ascii="Perpetua" w:hAnsi="Perpetua" w:cs="Arial"/>
          <w:color w:val="auto"/>
          <w:sz w:val="24"/>
          <w:szCs w:val="24"/>
          <w:u w:val="none"/>
        </w:rPr>
        <w:t xml:space="preserve">. </w:t>
      </w:r>
      <w:proofErr w:type="spellStart"/>
      <w:r w:rsidR="00695AAF" w:rsidRPr="00A262E4">
        <w:rPr>
          <w:rStyle w:val="Hipervnculo"/>
          <w:rFonts w:ascii="Perpetua" w:hAnsi="Perpetua" w:cs="Arial"/>
          <w:color w:val="auto"/>
          <w:sz w:val="24"/>
          <w:szCs w:val="24"/>
          <w:u w:val="none"/>
        </w:rPr>
        <w:t>Rev</w:t>
      </w:r>
      <w:proofErr w:type="spellEnd"/>
      <w:r w:rsidR="00695AAF" w:rsidRPr="00A262E4">
        <w:rPr>
          <w:rStyle w:val="Hipervnculo"/>
          <w:rFonts w:ascii="Perpetua" w:hAnsi="Perpetua" w:cs="Arial"/>
          <w:color w:val="auto"/>
          <w:sz w:val="24"/>
          <w:szCs w:val="24"/>
          <w:u w:val="none"/>
        </w:rPr>
        <w:t xml:space="preserve"> </w:t>
      </w:r>
      <w:proofErr w:type="spellStart"/>
      <w:r w:rsidR="00695AAF" w:rsidRPr="00A262E4">
        <w:rPr>
          <w:rStyle w:val="Hipervnculo"/>
          <w:rFonts w:ascii="Perpetua" w:hAnsi="Perpetua" w:cs="Arial"/>
          <w:color w:val="auto"/>
          <w:sz w:val="24"/>
          <w:szCs w:val="24"/>
          <w:u w:val="none"/>
        </w:rPr>
        <w:t>Cub</w:t>
      </w:r>
      <w:proofErr w:type="spellEnd"/>
      <w:r w:rsidR="00695AAF" w:rsidRPr="00A262E4">
        <w:rPr>
          <w:rStyle w:val="Hipervnculo"/>
          <w:rFonts w:ascii="Perpetua" w:hAnsi="Perpetua" w:cs="Arial"/>
          <w:color w:val="auto"/>
          <w:sz w:val="24"/>
          <w:szCs w:val="24"/>
          <w:u w:val="none"/>
        </w:rPr>
        <w:t xml:space="preserve"> de Medicina.</w:t>
      </w:r>
      <w:r w:rsidR="00695AAF" w:rsidRPr="00A262E4">
        <w:rPr>
          <w:rFonts w:ascii="Perpetua" w:hAnsi="Perpetua" w:cs="Arial"/>
          <w:sz w:val="24"/>
          <w:szCs w:val="24"/>
        </w:rPr>
        <w:t xml:space="preserve"> 2017</w:t>
      </w:r>
      <w:r w:rsidR="00423018" w:rsidRPr="00A262E4">
        <w:rPr>
          <w:rFonts w:ascii="Perpetua" w:hAnsi="Perpetua" w:cs="Arial"/>
          <w:sz w:val="24"/>
          <w:szCs w:val="24"/>
        </w:rPr>
        <w:t>; 56</w:t>
      </w:r>
      <w:r w:rsidR="00695AAF" w:rsidRPr="00A262E4">
        <w:rPr>
          <w:rFonts w:ascii="Perpetua" w:hAnsi="Perpetua" w:cs="Arial"/>
          <w:sz w:val="24"/>
          <w:szCs w:val="24"/>
        </w:rPr>
        <w:t xml:space="preserve">(2):126-132. </w:t>
      </w:r>
      <w:hyperlink r:id="rId25" w:history="1">
        <w:r w:rsidR="00423018" w:rsidRPr="00A262E4">
          <w:rPr>
            <w:rStyle w:val="Hipervnculo"/>
            <w:rFonts w:ascii="Perpetua" w:hAnsi="Perpetua" w:cs="Arial"/>
            <w:sz w:val="24"/>
            <w:szCs w:val="24"/>
          </w:rPr>
          <w:t>http://scielo.sld.cu/scielo.php?script=sci_arttext&amp;pid=S0034-75232017000200005</w:t>
        </w:r>
      </w:hyperlink>
      <w:r w:rsidR="007949A6" w:rsidRPr="00A262E4">
        <w:rPr>
          <w:rFonts w:ascii="Perpetua" w:hAnsi="Perpetua" w:cs="Arial"/>
          <w:sz w:val="24"/>
          <w:szCs w:val="24"/>
        </w:rPr>
        <w:t xml:space="preserve">. </w:t>
      </w:r>
    </w:p>
    <w:p w14:paraId="753DAFED" w14:textId="77777777" w:rsidR="001D7571" w:rsidRPr="00A262E4" w:rsidRDefault="001D7571" w:rsidP="00695AAF">
      <w:pPr>
        <w:pStyle w:val="Prrafodelista"/>
        <w:spacing w:line="360" w:lineRule="auto"/>
        <w:jc w:val="both"/>
        <w:rPr>
          <w:rFonts w:ascii="Perpetua" w:hAnsi="Perpetua" w:cs="Arial"/>
          <w:sz w:val="24"/>
          <w:szCs w:val="24"/>
        </w:rPr>
      </w:pPr>
    </w:p>
    <w:p w14:paraId="5A930EE8" w14:textId="77777777" w:rsidR="000B2C8B" w:rsidRPr="00A262E4" w:rsidRDefault="001D7571" w:rsidP="00CA52BC">
      <w:pPr>
        <w:spacing w:before="100" w:beforeAutospacing="1" w:after="100" w:afterAutospacing="1" w:line="360" w:lineRule="auto"/>
        <w:ind w:left="709" w:hanging="567"/>
        <w:jc w:val="both"/>
        <w:rPr>
          <w:rFonts w:ascii="Perpetua" w:hAnsi="Perpetua" w:cs="Arial"/>
        </w:rPr>
      </w:pPr>
      <w:r w:rsidRPr="00A262E4">
        <w:rPr>
          <w:rFonts w:ascii="Perpetua" w:hAnsi="Perpetua" w:cs="Arial"/>
        </w:rPr>
        <w:t xml:space="preserve">    6. Pantoja C, Martínez A, </w:t>
      </w:r>
      <w:proofErr w:type="spellStart"/>
      <w:r w:rsidRPr="00A262E4">
        <w:rPr>
          <w:rFonts w:ascii="Perpetua" w:hAnsi="Perpetua" w:cs="Arial"/>
        </w:rPr>
        <w:t>Ferreirós</w:t>
      </w:r>
      <w:proofErr w:type="spellEnd"/>
      <w:r w:rsidRPr="00A262E4">
        <w:rPr>
          <w:rFonts w:ascii="Perpetua" w:hAnsi="Perpetua" w:cs="Arial"/>
        </w:rPr>
        <w:t xml:space="preserve"> A, Millán S, Coral J. Toxoplasmosis en sistema nervioso central sobre la patología, abordaje diagnóstico y tratamiento. Acta neu</w:t>
      </w:r>
      <w:r w:rsidR="002F6020" w:rsidRPr="00A262E4">
        <w:rPr>
          <w:rFonts w:ascii="Perpetua" w:hAnsi="Perpetua" w:cs="Arial"/>
        </w:rPr>
        <w:t xml:space="preserve">rológica Colombiana. </w:t>
      </w:r>
      <w:r w:rsidRPr="00A262E4">
        <w:rPr>
          <w:rFonts w:ascii="Perpetua" w:hAnsi="Perpetua" w:cs="Arial"/>
        </w:rPr>
        <w:t xml:space="preserve">2021; 37(1): </w:t>
      </w:r>
      <w:proofErr w:type="spellStart"/>
      <w:r w:rsidRPr="00A262E4">
        <w:rPr>
          <w:rFonts w:ascii="Perpetua" w:hAnsi="Perpetua" w:cs="Arial"/>
        </w:rPr>
        <w:t>Supl</w:t>
      </w:r>
      <w:proofErr w:type="spellEnd"/>
      <w:r w:rsidRPr="00A262E4">
        <w:rPr>
          <w:rFonts w:ascii="Perpetua" w:hAnsi="Perpetua" w:cs="Arial"/>
        </w:rPr>
        <w:t xml:space="preserve">. 1: 141-147. </w:t>
      </w:r>
      <w:hyperlink r:id="rId26" w:history="1">
        <w:r w:rsidRPr="00A262E4">
          <w:rPr>
            <w:rStyle w:val="Hipervnculo"/>
            <w:rFonts w:ascii="Perpetua" w:hAnsi="Perpetua" w:cs="Arial"/>
          </w:rPr>
          <w:t>https://doi.org/10.22379/24224022346</w:t>
        </w:r>
      </w:hyperlink>
      <w:r w:rsidR="00B07C46" w:rsidRPr="00A262E4">
        <w:rPr>
          <w:rStyle w:val="Hipervnculo"/>
          <w:rFonts w:ascii="Perpetua" w:hAnsi="Perpetua" w:cs="Arial"/>
        </w:rPr>
        <w:t>.</w:t>
      </w:r>
    </w:p>
    <w:p w14:paraId="56AFC534" w14:textId="77777777" w:rsidR="00BD22DE" w:rsidRPr="00A262E4" w:rsidRDefault="00BD22DE" w:rsidP="003F6BD2">
      <w:pPr>
        <w:pStyle w:val="Prrafodelista"/>
        <w:numPr>
          <w:ilvl w:val="0"/>
          <w:numId w:val="3"/>
        </w:numPr>
        <w:spacing w:line="360" w:lineRule="auto"/>
        <w:jc w:val="both"/>
        <w:rPr>
          <w:rStyle w:val="Hipervnculo"/>
          <w:rFonts w:ascii="Perpetua" w:hAnsi="Perpetua" w:cs="Arial"/>
          <w:sz w:val="24"/>
          <w:szCs w:val="24"/>
        </w:rPr>
      </w:pPr>
      <w:proofErr w:type="spellStart"/>
      <w:r w:rsidRPr="00A262E4">
        <w:rPr>
          <w:rFonts w:ascii="Perpetua" w:hAnsi="Perpetua" w:cs="Arial"/>
          <w:sz w:val="24"/>
          <w:szCs w:val="24"/>
        </w:rPr>
        <w:lastRenderedPageBreak/>
        <w:t>Pinchi</w:t>
      </w:r>
      <w:proofErr w:type="spellEnd"/>
      <w:r w:rsidRPr="00A262E4">
        <w:rPr>
          <w:rFonts w:ascii="Perpetua" w:hAnsi="Perpetua" w:cs="Arial"/>
          <w:sz w:val="24"/>
          <w:szCs w:val="24"/>
        </w:rPr>
        <w:t xml:space="preserve"> LE. Características clínicas y epidemiológicas de toxoplasmosis cerebral en pacientes VIH en un hos</w:t>
      </w:r>
      <w:r w:rsidR="00E141DC" w:rsidRPr="00A262E4">
        <w:rPr>
          <w:rFonts w:ascii="Perpetua" w:hAnsi="Perpetua" w:cs="Arial"/>
          <w:sz w:val="24"/>
          <w:szCs w:val="24"/>
        </w:rPr>
        <w:t xml:space="preserve">pital de nivel III – </w:t>
      </w:r>
      <w:proofErr w:type="spellStart"/>
      <w:r w:rsidR="00E141DC" w:rsidRPr="00A262E4">
        <w:rPr>
          <w:rFonts w:ascii="Perpetua" w:hAnsi="Perpetua" w:cs="Arial"/>
          <w:sz w:val="24"/>
          <w:szCs w:val="24"/>
        </w:rPr>
        <w:t>lquitos</w:t>
      </w:r>
      <w:proofErr w:type="spellEnd"/>
      <w:r w:rsidR="00E141DC" w:rsidRPr="00A262E4">
        <w:rPr>
          <w:rFonts w:ascii="Perpetua" w:hAnsi="Perpetua" w:cs="Arial"/>
          <w:sz w:val="24"/>
          <w:szCs w:val="24"/>
        </w:rPr>
        <w:t>. [T</w:t>
      </w:r>
      <w:r w:rsidRPr="00A262E4">
        <w:rPr>
          <w:rFonts w:ascii="Perpetua" w:hAnsi="Perpetua" w:cs="Arial"/>
          <w:sz w:val="24"/>
          <w:szCs w:val="24"/>
        </w:rPr>
        <w:t>esis].</w:t>
      </w:r>
      <w:r w:rsidR="00E141DC" w:rsidRPr="00A262E4">
        <w:rPr>
          <w:rFonts w:ascii="Perpetua" w:hAnsi="Perpetua" w:cs="Arial"/>
          <w:sz w:val="24"/>
          <w:szCs w:val="24"/>
        </w:rPr>
        <w:t xml:space="preserve"> </w:t>
      </w:r>
      <w:proofErr w:type="spellStart"/>
      <w:r w:rsidR="00E141DC" w:rsidRPr="00A262E4">
        <w:rPr>
          <w:rFonts w:ascii="Perpetua" w:hAnsi="Perpetua" w:cs="Arial"/>
          <w:sz w:val="24"/>
          <w:szCs w:val="24"/>
        </w:rPr>
        <w:t>Peru</w:t>
      </w:r>
      <w:proofErr w:type="spellEnd"/>
      <w:r w:rsidR="00E141DC" w:rsidRPr="00A262E4">
        <w:rPr>
          <w:rFonts w:ascii="Perpetua" w:hAnsi="Perpetua" w:cs="Arial"/>
          <w:sz w:val="24"/>
          <w:szCs w:val="24"/>
        </w:rPr>
        <w:t>:</w:t>
      </w:r>
      <w:r w:rsidRPr="00A262E4">
        <w:rPr>
          <w:rFonts w:ascii="Perpetua" w:hAnsi="Perpetua" w:cs="Arial"/>
          <w:sz w:val="24"/>
          <w:szCs w:val="24"/>
        </w:rPr>
        <w:t xml:space="preserve"> Facultad de Medicina Humana. 2023. Disponible en: </w:t>
      </w:r>
      <w:hyperlink r:id="rId27" w:history="1">
        <w:r w:rsidRPr="00A262E4">
          <w:rPr>
            <w:rStyle w:val="Hipervnculo"/>
            <w:rFonts w:ascii="Perpetua" w:hAnsi="Perpetua" w:cs="Arial"/>
            <w:sz w:val="24"/>
            <w:szCs w:val="24"/>
          </w:rPr>
          <w:t>https://hdl.handle.net/20.500.12737/9890</w:t>
        </w:r>
      </w:hyperlink>
      <w:r w:rsidR="00B07C46" w:rsidRPr="00A262E4">
        <w:rPr>
          <w:rStyle w:val="Hipervnculo"/>
          <w:rFonts w:ascii="Perpetua" w:hAnsi="Perpetua" w:cs="Arial"/>
          <w:sz w:val="24"/>
          <w:szCs w:val="24"/>
        </w:rPr>
        <w:t>.</w:t>
      </w:r>
    </w:p>
    <w:p w14:paraId="302D3D73" w14:textId="77777777" w:rsidR="00BD22DE" w:rsidRPr="00A262E4" w:rsidRDefault="00BD22DE" w:rsidP="003F6BD2">
      <w:pPr>
        <w:pStyle w:val="Prrafodelista"/>
        <w:spacing w:line="360" w:lineRule="auto"/>
        <w:jc w:val="both"/>
        <w:rPr>
          <w:rStyle w:val="Hipervnculo"/>
          <w:rFonts w:ascii="Perpetua" w:hAnsi="Perpetua" w:cs="Arial"/>
          <w:sz w:val="24"/>
          <w:szCs w:val="24"/>
        </w:rPr>
      </w:pPr>
    </w:p>
    <w:p w14:paraId="529B2B49" w14:textId="77777777" w:rsidR="00BD22DE" w:rsidRPr="00A262E4" w:rsidRDefault="00BD22DE" w:rsidP="003F6BD2">
      <w:pPr>
        <w:pStyle w:val="Prrafodelista"/>
        <w:numPr>
          <w:ilvl w:val="0"/>
          <w:numId w:val="3"/>
        </w:numPr>
        <w:spacing w:line="360" w:lineRule="auto"/>
        <w:jc w:val="both"/>
        <w:rPr>
          <w:rStyle w:val="Hipervnculo"/>
          <w:rFonts w:ascii="Perpetua" w:hAnsi="Perpetua" w:cs="Arial"/>
          <w:sz w:val="24"/>
          <w:szCs w:val="24"/>
        </w:rPr>
      </w:pPr>
      <w:proofErr w:type="spellStart"/>
      <w:r w:rsidRPr="00A262E4">
        <w:rPr>
          <w:rFonts w:ascii="Perpetua" w:hAnsi="Perpetua" w:cs="Arial"/>
          <w:sz w:val="24"/>
          <w:szCs w:val="24"/>
          <w:lang w:val="en-US"/>
        </w:rPr>
        <w:t>Sanni</w:t>
      </w:r>
      <w:proofErr w:type="spellEnd"/>
      <w:r w:rsidRPr="00A262E4">
        <w:rPr>
          <w:rFonts w:ascii="Perpetua" w:hAnsi="Perpetua" w:cs="Arial"/>
          <w:sz w:val="24"/>
          <w:szCs w:val="24"/>
          <w:lang w:val="en-US"/>
        </w:rPr>
        <w:t xml:space="preserve"> D, </w:t>
      </w:r>
      <w:proofErr w:type="spellStart"/>
      <w:r w:rsidRPr="00A262E4">
        <w:rPr>
          <w:rFonts w:ascii="Perpetua" w:hAnsi="Perpetua" w:cs="Arial"/>
          <w:sz w:val="24"/>
          <w:szCs w:val="24"/>
          <w:lang w:val="en-US"/>
        </w:rPr>
        <w:t>Hadisaputro</w:t>
      </w:r>
      <w:proofErr w:type="spellEnd"/>
      <w:r w:rsidRPr="00A262E4">
        <w:rPr>
          <w:rFonts w:ascii="Perpetua" w:hAnsi="Perpetua" w:cs="Arial"/>
          <w:sz w:val="24"/>
          <w:szCs w:val="24"/>
          <w:lang w:val="en-US"/>
        </w:rPr>
        <w:t xml:space="preserve"> S, </w:t>
      </w:r>
      <w:proofErr w:type="spellStart"/>
      <w:r w:rsidRPr="00A262E4">
        <w:rPr>
          <w:rFonts w:ascii="Perpetua" w:hAnsi="Perpetua" w:cs="Arial"/>
          <w:sz w:val="24"/>
          <w:szCs w:val="24"/>
          <w:lang w:val="en-US"/>
        </w:rPr>
        <w:t>Sofro</w:t>
      </w:r>
      <w:proofErr w:type="spellEnd"/>
      <w:r w:rsidRPr="00A262E4">
        <w:rPr>
          <w:rFonts w:ascii="Perpetua" w:hAnsi="Perpetua" w:cs="Arial"/>
          <w:sz w:val="24"/>
          <w:szCs w:val="24"/>
          <w:lang w:val="en-US"/>
        </w:rPr>
        <w:t xml:space="preserve"> MAU. Toxoplasmosis and Cere</w:t>
      </w:r>
      <w:r w:rsidR="00282816" w:rsidRPr="00A262E4">
        <w:rPr>
          <w:rFonts w:ascii="Perpetua" w:hAnsi="Perpetua" w:cs="Arial"/>
          <w:sz w:val="24"/>
          <w:szCs w:val="24"/>
          <w:lang w:val="en-US"/>
        </w:rPr>
        <w:t>bral Toxoplasmosis in HIV/AIDS p</w:t>
      </w:r>
      <w:r w:rsidRPr="00A262E4">
        <w:rPr>
          <w:rFonts w:ascii="Perpetua" w:hAnsi="Perpetua" w:cs="Arial"/>
          <w:sz w:val="24"/>
          <w:szCs w:val="24"/>
          <w:lang w:val="en-US"/>
        </w:rPr>
        <w:t xml:space="preserve">atients in </w:t>
      </w:r>
      <w:proofErr w:type="spellStart"/>
      <w:r w:rsidRPr="00A262E4">
        <w:rPr>
          <w:rFonts w:ascii="Perpetua" w:hAnsi="Perpetua" w:cs="Arial"/>
          <w:sz w:val="24"/>
          <w:szCs w:val="24"/>
          <w:lang w:val="en-US"/>
        </w:rPr>
        <w:t>Kariadi</w:t>
      </w:r>
      <w:proofErr w:type="spellEnd"/>
      <w:r w:rsidRPr="00A262E4">
        <w:rPr>
          <w:rFonts w:ascii="Perpetua" w:hAnsi="Perpetua" w:cs="Arial"/>
          <w:sz w:val="24"/>
          <w:szCs w:val="24"/>
          <w:lang w:val="en-US"/>
        </w:rPr>
        <w:t xml:space="preserve"> Hospital, Semarang. </w:t>
      </w:r>
      <w:r w:rsidRPr="00A262E4">
        <w:rPr>
          <w:rFonts w:ascii="Perpetua" w:hAnsi="Perpetua" w:cs="Arial"/>
          <w:sz w:val="24"/>
          <w:szCs w:val="24"/>
        </w:rPr>
        <w:t xml:space="preserve">J </w:t>
      </w:r>
      <w:proofErr w:type="spellStart"/>
      <w:r w:rsidRPr="00A262E4">
        <w:rPr>
          <w:rFonts w:ascii="Perpetua" w:hAnsi="Perpetua" w:cs="Arial"/>
          <w:sz w:val="24"/>
          <w:szCs w:val="24"/>
        </w:rPr>
        <w:t>Epidemiol</w:t>
      </w:r>
      <w:proofErr w:type="spellEnd"/>
      <w:r w:rsidRPr="00A262E4">
        <w:rPr>
          <w:rFonts w:ascii="Perpetua" w:hAnsi="Perpetua" w:cs="Arial"/>
          <w:sz w:val="24"/>
          <w:szCs w:val="24"/>
        </w:rPr>
        <w:t xml:space="preserve"> </w:t>
      </w:r>
      <w:proofErr w:type="spellStart"/>
      <w:r w:rsidRPr="00A262E4">
        <w:rPr>
          <w:rFonts w:ascii="Perpetua" w:hAnsi="Perpetua" w:cs="Arial"/>
          <w:sz w:val="24"/>
          <w:szCs w:val="24"/>
        </w:rPr>
        <w:t>Kesehat</w:t>
      </w:r>
      <w:proofErr w:type="spellEnd"/>
      <w:r w:rsidRPr="00A262E4">
        <w:rPr>
          <w:rFonts w:ascii="Perpetua" w:hAnsi="Perpetua" w:cs="Arial"/>
          <w:sz w:val="24"/>
          <w:szCs w:val="24"/>
        </w:rPr>
        <w:t xml:space="preserve"> </w:t>
      </w:r>
      <w:proofErr w:type="spellStart"/>
      <w:r w:rsidRPr="00A262E4">
        <w:rPr>
          <w:rFonts w:ascii="Perpetua" w:hAnsi="Perpetua" w:cs="Arial"/>
          <w:sz w:val="24"/>
          <w:szCs w:val="24"/>
        </w:rPr>
        <w:t>Komunitas</w:t>
      </w:r>
      <w:proofErr w:type="spellEnd"/>
      <w:r w:rsidRPr="00A262E4">
        <w:rPr>
          <w:rFonts w:ascii="Perpetua" w:hAnsi="Perpetua" w:cs="Arial"/>
          <w:sz w:val="24"/>
          <w:szCs w:val="24"/>
        </w:rPr>
        <w:t xml:space="preserve">. 2021;6(1):213–217. </w:t>
      </w:r>
      <w:hyperlink r:id="rId28" w:history="1">
        <w:r w:rsidRPr="00A262E4">
          <w:rPr>
            <w:rStyle w:val="Hipervnculo"/>
            <w:rFonts w:ascii="Perpetua" w:hAnsi="Perpetua" w:cs="Arial"/>
            <w:sz w:val="24"/>
            <w:szCs w:val="24"/>
          </w:rPr>
          <w:t>https://dx.doi.org/10.14710/jekk.v6i1.7351</w:t>
        </w:r>
      </w:hyperlink>
      <w:r w:rsidR="00B07C46" w:rsidRPr="00A262E4">
        <w:rPr>
          <w:rStyle w:val="Hipervnculo"/>
          <w:rFonts w:ascii="Perpetua" w:hAnsi="Perpetua" w:cs="Arial"/>
          <w:sz w:val="24"/>
          <w:szCs w:val="24"/>
        </w:rPr>
        <w:t>.</w:t>
      </w:r>
    </w:p>
    <w:p w14:paraId="25D86670" w14:textId="77777777" w:rsidR="009951A7" w:rsidRPr="00A262E4" w:rsidRDefault="009951A7" w:rsidP="009951A7">
      <w:pPr>
        <w:pStyle w:val="Prrafodelista"/>
        <w:rPr>
          <w:rStyle w:val="Hipervnculo"/>
          <w:rFonts w:ascii="Perpetua" w:hAnsi="Perpetua" w:cs="Arial"/>
          <w:sz w:val="24"/>
          <w:szCs w:val="24"/>
        </w:rPr>
      </w:pPr>
    </w:p>
    <w:p w14:paraId="79DEA522" w14:textId="77777777" w:rsidR="009951A7" w:rsidRPr="00A262E4" w:rsidRDefault="002622B1" w:rsidP="007264C7">
      <w:pPr>
        <w:pStyle w:val="Prrafodelista"/>
        <w:numPr>
          <w:ilvl w:val="0"/>
          <w:numId w:val="3"/>
        </w:numPr>
        <w:spacing w:line="360" w:lineRule="auto"/>
        <w:jc w:val="both"/>
        <w:rPr>
          <w:rStyle w:val="Hipervnculo"/>
          <w:rFonts w:ascii="Perpetua" w:hAnsi="Perpetua" w:cs="Arial"/>
          <w:color w:val="auto"/>
          <w:sz w:val="24"/>
          <w:szCs w:val="24"/>
          <w:u w:val="none"/>
        </w:rPr>
      </w:pPr>
      <w:r w:rsidRPr="00A262E4">
        <w:rPr>
          <w:rStyle w:val="Hipervnculo"/>
          <w:rFonts w:ascii="Perpetua" w:hAnsi="Perpetua" w:cs="Arial"/>
          <w:color w:val="auto"/>
          <w:sz w:val="24"/>
          <w:szCs w:val="24"/>
          <w:u w:val="none"/>
        </w:rPr>
        <w:t>Fernández</w:t>
      </w:r>
      <w:r w:rsidR="009951A7" w:rsidRPr="00A262E4">
        <w:rPr>
          <w:rStyle w:val="Hipervnculo"/>
          <w:rFonts w:ascii="Perpetua" w:hAnsi="Perpetua" w:cs="Arial"/>
          <w:color w:val="auto"/>
          <w:sz w:val="24"/>
          <w:szCs w:val="24"/>
          <w:u w:val="none"/>
        </w:rPr>
        <w:t xml:space="preserve">- </w:t>
      </w:r>
      <w:proofErr w:type="spellStart"/>
      <w:r w:rsidR="009951A7" w:rsidRPr="00A262E4">
        <w:rPr>
          <w:rStyle w:val="Hipervnculo"/>
          <w:rFonts w:ascii="Perpetua" w:hAnsi="Perpetua" w:cs="Arial"/>
          <w:color w:val="auto"/>
          <w:sz w:val="24"/>
          <w:szCs w:val="24"/>
          <w:u w:val="none"/>
        </w:rPr>
        <w:t>Setien</w:t>
      </w:r>
      <w:proofErr w:type="spellEnd"/>
      <w:r w:rsidR="009951A7" w:rsidRPr="00A262E4">
        <w:rPr>
          <w:rStyle w:val="Hipervnculo"/>
          <w:rFonts w:ascii="Perpetua" w:hAnsi="Perpetua" w:cs="Arial"/>
          <w:color w:val="auto"/>
          <w:sz w:val="24"/>
          <w:szCs w:val="24"/>
          <w:u w:val="none"/>
        </w:rPr>
        <w:t xml:space="preserve"> </w:t>
      </w:r>
      <w:r w:rsidRPr="00A262E4">
        <w:rPr>
          <w:rStyle w:val="Hipervnculo"/>
          <w:rFonts w:ascii="Perpetua" w:hAnsi="Perpetua" w:cs="Arial"/>
          <w:color w:val="auto"/>
          <w:sz w:val="24"/>
          <w:szCs w:val="24"/>
          <w:u w:val="none"/>
        </w:rPr>
        <w:t>Fernández</w:t>
      </w:r>
      <w:r w:rsidR="009951A7" w:rsidRPr="00A262E4">
        <w:rPr>
          <w:rStyle w:val="Hipervnculo"/>
          <w:rFonts w:ascii="Perpetua" w:hAnsi="Perpetua" w:cs="Arial"/>
          <w:color w:val="auto"/>
          <w:sz w:val="24"/>
          <w:szCs w:val="24"/>
          <w:u w:val="none"/>
        </w:rPr>
        <w:t xml:space="preserve"> MC. El VIH/sida y los actuales métodos </w:t>
      </w:r>
      <w:r w:rsidR="007264C7" w:rsidRPr="00A262E4">
        <w:rPr>
          <w:rStyle w:val="Hipervnculo"/>
          <w:rFonts w:ascii="Perpetua" w:hAnsi="Perpetua" w:cs="Arial"/>
          <w:color w:val="auto"/>
          <w:sz w:val="24"/>
          <w:szCs w:val="24"/>
          <w:u w:val="none"/>
        </w:rPr>
        <w:t>profilácticos</w:t>
      </w:r>
      <w:r w:rsidRPr="00A262E4">
        <w:rPr>
          <w:rStyle w:val="Hipervnculo"/>
          <w:rFonts w:ascii="Perpetua" w:hAnsi="Perpetua" w:cs="Arial"/>
          <w:color w:val="auto"/>
          <w:sz w:val="24"/>
          <w:szCs w:val="24"/>
          <w:u w:val="none"/>
        </w:rPr>
        <w:t xml:space="preserve"> </w:t>
      </w:r>
      <w:r w:rsidR="00CC0E33" w:rsidRPr="00A262E4">
        <w:rPr>
          <w:rFonts w:ascii="Perpetua" w:hAnsi="Perpetua" w:cs="Arial"/>
          <w:sz w:val="24"/>
          <w:szCs w:val="24"/>
        </w:rPr>
        <w:t>[</w:t>
      </w:r>
      <w:r w:rsidR="00CC0E33" w:rsidRPr="00A262E4">
        <w:rPr>
          <w:rStyle w:val="Hipervnculo"/>
          <w:rFonts w:ascii="Perpetua" w:hAnsi="Perpetua" w:cs="Arial"/>
          <w:color w:val="auto"/>
          <w:sz w:val="24"/>
          <w:szCs w:val="24"/>
          <w:u w:val="none"/>
        </w:rPr>
        <w:t>T</w:t>
      </w:r>
      <w:r w:rsidRPr="00A262E4">
        <w:rPr>
          <w:rStyle w:val="Hipervnculo"/>
          <w:rFonts w:ascii="Perpetua" w:hAnsi="Perpetua" w:cs="Arial"/>
          <w:color w:val="auto"/>
          <w:sz w:val="24"/>
          <w:szCs w:val="24"/>
          <w:u w:val="none"/>
        </w:rPr>
        <w:t>esis</w:t>
      </w:r>
      <w:r w:rsidR="00CC0E33" w:rsidRPr="00A262E4">
        <w:rPr>
          <w:rFonts w:ascii="Perpetua" w:hAnsi="Perpetua" w:cs="Arial"/>
          <w:sz w:val="24"/>
          <w:szCs w:val="24"/>
        </w:rPr>
        <w:t>]</w:t>
      </w:r>
      <w:r w:rsidRPr="00A262E4">
        <w:rPr>
          <w:rStyle w:val="Hipervnculo"/>
          <w:rFonts w:ascii="Perpetua" w:hAnsi="Perpetua" w:cs="Arial"/>
          <w:color w:val="auto"/>
          <w:sz w:val="24"/>
          <w:szCs w:val="24"/>
          <w:u w:val="none"/>
        </w:rPr>
        <w:t>.</w:t>
      </w:r>
      <w:r w:rsidR="00B86BB7" w:rsidRPr="00A262E4">
        <w:rPr>
          <w:rFonts w:ascii="Perpetua" w:hAnsi="Perpetua"/>
          <w:noProof/>
          <w:sz w:val="24"/>
          <w:szCs w:val="24"/>
        </w:rPr>
        <w:t xml:space="preserve"> </w:t>
      </w:r>
      <w:r w:rsidR="00B86BB7" w:rsidRPr="00A262E4">
        <w:rPr>
          <w:rFonts w:ascii="Perpetua" w:hAnsi="Perpetua" w:cs="Arial"/>
          <w:noProof/>
          <w:sz w:val="24"/>
          <w:szCs w:val="24"/>
        </w:rPr>
        <w:t>España:</w:t>
      </w:r>
      <w:r w:rsidR="00B86BB7" w:rsidRPr="00A262E4">
        <w:rPr>
          <w:rStyle w:val="Hipervnculo"/>
          <w:rFonts w:ascii="Perpetua" w:hAnsi="Perpetua" w:cs="Arial"/>
          <w:color w:val="auto"/>
          <w:sz w:val="24"/>
          <w:szCs w:val="24"/>
          <w:u w:val="none"/>
        </w:rPr>
        <w:t xml:space="preserve"> Universidad de Cantabria</w:t>
      </w:r>
      <w:r w:rsidRPr="00A262E4">
        <w:rPr>
          <w:rStyle w:val="Hipervnculo"/>
          <w:rFonts w:ascii="Perpetua" w:hAnsi="Perpetua" w:cs="Arial"/>
          <w:color w:val="auto"/>
          <w:sz w:val="24"/>
          <w:szCs w:val="24"/>
          <w:u w:val="none"/>
        </w:rPr>
        <w:t xml:space="preserve">; 2019. </w:t>
      </w:r>
      <w:hyperlink r:id="rId29" w:history="1">
        <w:r w:rsidR="007264C7" w:rsidRPr="00A262E4">
          <w:rPr>
            <w:rStyle w:val="Hipervnculo"/>
            <w:rFonts w:ascii="Perpetua" w:hAnsi="Perpetua" w:cs="Arial"/>
            <w:sz w:val="24"/>
            <w:szCs w:val="24"/>
          </w:rPr>
          <w:t>https://repositorio.unican.es/xmlui/bitstream/handle/10902/16482/Fernandez-SetienFernandezMariaCayetana.pdf?sequence=1</w:t>
        </w:r>
      </w:hyperlink>
      <w:r w:rsidR="007264C7" w:rsidRPr="00A262E4">
        <w:rPr>
          <w:rStyle w:val="Hipervnculo"/>
          <w:rFonts w:ascii="Perpetua" w:hAnsi="Perpetua" w:cs="Arial"/>
          <w:color w:val="auto"/>
          <w:sz w:val="24"/>
          <w:szCs w:val="24"/>
          <w:u w:val="none"/>
        </w:rPr>
        <w:t xml:space="preserve">. </w:t>
      </w:r>
    </w:p>
    <w:p w14:paraId="6D72105F" w14:textId="77777777" w:rsidR="00BD22DE" w:rsidRPr="00A262E4" w:rsidRDefault="00BD22DE" w:rsidP="003F6BD2">
      <w:pPr>
        <w:pStyle w:val="Prrafodelista"/>
        <w:spacing w:line="360" w:lineRule="auto"/>
        <w:jc w:val="both"/>
        <w:rPr>
          <w:rFonts w:ascii="Perpetua" w:hAnsi="Perpetua" w:cs="Arial"/>
          <w:sz w:val="24"/>
          <w:szCs w:val="24"/>
        </w:rPr>
      </w:pPr>
    </w:p>
    <w:p w14:paraId="4BEAF2A3" w14:textId="77777777" w:rsidR="00BD22DE" w:rsidRPr="00A262E4" w:rsidRDefault="00BD22DE" w:rsidP="003F6BD2">
      <w:pPr>
        <w:pStyle w:val="Prrafodelista"/>
        <w:numPr>
          <w:ilvl w:val="0"/>
          <w:numId w:val="3"/>
        </w:numPr>
        <w:spacing w:line="360" w:lineRule="auto"/>
        <w:jc w:val="both"/>
        <w:rPr>
          <w:rFonts w:ascii="Perpetua" w:hAnsi="Perpetua" w:cs="Arial"/>
          <w:sz w:val="24"/>
          <w:szCs w:val="24"/>
        </w:rPr>
      </w:pPr>
      <w:r w:rsidRPr="00A262E4">
        <w:rPr>
          <w:rFonts w:ascii="Perpetua" w:hAnsi="Perpetua" w:cs="Arial"/>
          <w:sz w:val="24"/>
          <w:szCs w:val="24"/>
        </w:rPr>
        <w:t xml:space="preserve">Coto F, Murillo F, Rocha SM. Encefalitis por Toxoplasma </w:t>
      </w:r>
      <w:proofErr w:type="spellStart"/>
      <w:r w:rsidRPr="00A262E4">
        <w:rPr>
          <w:rFonts w:ascii="Perpetua" w:hAnsi="Perpetua" w:cs="Arial"/>
          <w:sz w:val="24"/>
          <w:szCs w:val="24"/>
        </w:rPr>
        <w:t>gondii</w:t>
      </w:r>
      <w:proofErr w:type="spellEnd"/>
      <w:r w:rsidRPr="00A262E4">
        <w:rPr>
          <w:rFonts w:ascii="Perpetua" w:hAnsi="Perpetua" w:cs="Arial"/>
          <w:sz w:val="24"/>
          <w:szCs w:val="24"/>
        </w:rPr>
        <w:t xml:space="preserve"> en pacientes con virus de la inmunodeficiencia humana. Revista Médica Sinergia. </w:t>
      </w:r>
      <w:r w:rsidR="0089145D" w:rsidRPr="00A262E4">
        <w:rPr>
          <w:rFonts w:ascii="Perpetua" w:hAnsi="Perpetua" w:cs="Arial"/>
          <w:sz w:val="24"/>
          <w:szCs w:val="24"/>
        </w:rPr>
        <w:t>2021;  (6) 10:</w:t>
      </w:r>
      <w:r w:rsidRPr="00A262E4">
        <w:rPr>
          <w:rFonts w:ascii="Perpetua" w:hAnsi="Perpetua" w:cs="Arial"/>
          <w:sz w:val="24"/>
          <w:szCs w:val="24"/>
        </w:rPr>
        <w:t xml:space="preserve"> e723. </w:t>
      </w:r>
      <w:hyperlink r:id="rId30" w:history="1">
        <w:r w:rsidRPr="00A262E4">
          <w:rPr>
            <w:rStyle w:val="Hipervnculo"/>
            <w:rFonts w:ascii="Perpetua" w:hAnsi="Perpetua" w:cs="Arial"/>
            <w:sz w:val="24"/>
            <w:szCs w:val="24"/>
          </w:rPr>
          <w:t>https://doi.org/10.31434/rms.v6i10.723</w:t>
        </w:r>
      </w:hyperlink>
      <w:r w:rsidRPr="00A262E4">
        <w:rPr>
          <w:rFonts w:ascii="Perpetua" w:hAnsi="Perpetua" w:cs="Arial"/>
          <w:sz w:val="24"/>
          <w:szCs w:val="24"/>
        </w:rPr>
        <w:t xml:space="preserve">. </w:t>
      </w:r>
    </w:p>
    <w:p w14:paraId="0F6B473C" w14:textId="77777777" w:rsidR="00BD22DE" w:rsidRPr="00A262E4" w:rsidRDefault="00BD22DE" w:rsidP="003F6BD2">
      <w:pPr>
        <w:pStyle w:val="Prrafodelista"/>
        <w:spacing w:line="360" w:lineRule="auto"/>
        <w:jc w:val="both"/>
        <w:rPr>
          <w:rFonts w:ascii="Perpetua" w:hAnsi="Perpetua" w:cs="Arial"/>
          <w:sz w:val="24"/>
          <w:szCs w:val="24"/>
        </w:rPr>
      </w:pPr>
    </w:p>
    <w:p w14:paraId="2198917B" w14:textId="77777777" w:rsidR="00BD22DE" w:rsidRPr="00A262E4" w:rsidRDefault="00BD22DE" w:rsidP="003F6BD2">
      <w:pPr>
        <w:pStyle w:val="Prrafodelista"/>
        <w:numPr>
          <w:ilvl w:val="0"/>
          <w:numId w:val="3"/>
        </w:numPr>
        <w:spacing w:line="360" w:lineRule="auto"/>
        <w:jc w:val="both"/>
        <w:rPr>
          <w:rFonts w:ascii="Perpetua" w:hAnsi="Perpetua" w:cs="Arial"/>
          <w:sz w:val="24"/>
          <w:szCs w:val="24"/>
        </w:rPr>
      </w:pPr>
      <w:r w:rsidRPr="00A262E4">
        <w:rPr>
          <w:rFonts w:ascii="Perpetua" w:hAnsi="Perpetua" w:cs="Arial"/>
          <w:sz w:val="24"/>
          <w:szCs w:val="24"/>
        </w:rPr>
        <w:t xml:space="preserve">Jaramillo G, Zamora J, Rivero Z, Lucas E, Lino W, Bracho A. Toxoplasmosis cerebral en pacientes con VIH/SIDA. [Internet]. Rev. </w:t>
      </w:r>
      <w:proofErr w:type="spellStart"/>
      <w:r w:rsidRPr="00A262E4">
        <w:rPr>
          <w:rFonts w:ascii="Perpetua" w:hAnsi="Perpetua" w:cs="Arial"/>
          <w:sz w:val="24"/>
          <w:szCs w:val="24"/>
        </w:rPr>
        <w:t>Qhalikay</w:t>
      </w:r>
      <w:proofErr w:type="spellEnd"/>
      <w:r w:rsidR="0089145D" w:rsidRPr="00A262E4">
        <w:rPr>
          <w:rFonts w:ascii="Perpetua" w:hAnsi="Perpetua" w:cs="Arial"/>
          <w:sz w:val="24"/>
          <w:szCs w:val="24"/>
        </w:rPr>
        <w:t>.</w:t>
      </w:r>
      <w:r w:rsidRPr="00A262E4">
        <w:rPr>
          <w:rFonts w:ascii="Perpetua" w:hAnsi="Perpetua" w:cs="Arial"/>
          <w:sz w:val="24"/>
          <w:szCs w:val="24"/>
        </w:rPr>
        <w:t xml:space="preserve"> 2023; 7(2): 93- 101. Disponible en: </w:t>
      </w:r>
      <w:hyperlink r:id="rId31" w:history="1">
        <w:r w:rsidRPr="00A262E4">
          <w:rPr>
            <w:rStyle w:val="Hipervnculo"/>
            <w:rFonts w:ascii="Perpetua" w:hAnsi="Perpetua" w:cs="Arial"/>
            <w:sz w:val="24"/>
            <w:szCs w:val="24"/>
          </w:rPr>
          <w:t>https://doi.org/10.33936/qkrcs.v7i2.5796</w:t>
        </w:r>
      </w:hyperlink>
      <w:r w:rsidRPr="00A262E4">
        <w:rPr>
          <w:rFonts w:ascii="Perpetua" w:hAnsi="Perpetua" w:cs="Arial"/>
          <w:sz w:val="24"/>
          <w:szCs w:val="24"/>
        </w:rPr>
        <w:t xml:space="preserve">. </w:t>
      </w:r>
    </w:p>
    <w:p w14:paraId="7511D680" w14:textId="77777777" w:rsidR="00BD22DE" w:rsidRPr="00A262E4" w:rsidRDefault="00BD22DE" w:rsidP="003F6BD2">
      <w:pPr>
        <w:pStyle w:val="Prrafodelista"/>
        <w:spacing w:line="360" w:lineRule="auto"/>
        <w:jc w:val="both"/>
        <w:rPr>
          <w:rFonts w:ascii="Perpetua" w:hAnsi="Perpetua" w:cs="Arial"/>
          <w:sz w:val="24"/>
          <w:szCs w:val="24"/>
        </w:rPr>
      </w:pPr>
    </w:p>
    <w:p w14:paraId="485EDCE4" w14:textId="77777777" w:rsidR="00BD22DE" w:rsidRPr="00A262E4" w:rsidRDefault="00BD22DE" w:rsidP="003F6BD2">
      <w:pPr>
        <w:pStyle w:val="Prrafodelista"/>
        <w:numPr>
          <w:ilvl w:val="0"/>
          <w:numId w:val="3"/>
        </w:numPr>
        <w:spacing w:line="360" w:lineRule="auto"/>
        <w:jc w:val="both"/>
        <w:rPr>
          <w:rStyle w:val="Hipervnculo"/>
          <w:rFonts w:ascii="Perpetua" w:hAnsi="Perpetua" w:cs="Arial"/>
          <w:sz w:val="24"/>
          <w:szCs w:val="24"/>
        </w:rPr>
      </w:pPr>
      <w:r w:rsidRPr="00A262E4">
        <w:rPr>
          <w:rFonts w:ascii="Perpetua" w:hAnsi="Perpetua" w:cs="Arial"/>
          <w:sz w:val="24"/>
          <w:szCs w:val="24"/>
        </w:rPr>
        <w:t>Naranjo J, Mora A, Chacha P, Herrera JL, Venegas B. HIV y toxoplasmosis cerebral a propósito de un caso</w:t>
      </w:r>
      <w:r w:rsidR="00A538F8" w:rsidRPr="00A262E4">
        <w:rPr>
          <w:rFonts w:ascii="Perpetua" w:hAnsi="Perpetua" w:cs="Arial"/>
          <w:sz w:val="24"/>
          <w:szCs w:val="24"/>
        </w:rPr>
        <w:t xml:space="preserve">. </w:t>
      </w:r>
      <w:r w:rsidRPr="00A262E4">
        <w:rPr>
          <w:rFonts w:ascii="Perpetua" w:hAnsi="Perpetua" w:cs="Arial"/>
          <w:sz w:val="24"/>
          <w:szCs w:val="24"/>
        </w:rPr>
        <w:t xml:space="preserve">Enfermería Investiga. 2021;6(5):85-9. </w:t>
      </w:r>
      <w:hyperlink r:id="rId32" w:history="1">
        <w:r w:rsidRPr="00A262E4">
          <w:rPr>
            <w:rStyle w:val="Hipervnculo"/>
            <w:rFonts w:ascii="Perpetua" w:hAnsi="Perpetua" w:cs="Arial"/>
            <w:sz w:val="24"/>
            <w:szCs w:val="24"/>
          </w:rPr>
          <w:t>https://doi.org/10.31243/ei.uta.v6i5.1459.2021</w:t>
        </w:r>
      </w:hyperlink>
      <w:r w:rsidR="00B07C46" w:rsidRPr="00A262E4">
        <w:rPr>
          <w:rStyle w:val="Hipervnculo"/>
          <w:rFonts w:ascii="Perpetua" w:hAnsi="Perpetua" w:cs="Arial"/>
          <w:sz w:val="24"/>
          <w:szCs w:val="24"/>
        </w:rPr>
        <w:t>.</w:t>
      </w:r>
    </w:p>
    <w:p w14:paraId="7A4D0259" w14:textId="77777777" w:rsidR="00BD22DE" w:rsidRPr="00A262E4" w:rsidRDefault="00BD22DE" w:rsidP="003F6BD2">
      <w:pPr>
        <w:pStyle w:val="Prrafodelista"/>
        <w:spacing w:line="360" w:lineRule="auto"/>
        <w:jc w:val="both"/>
        <w:rPr>
          <w:rFonts w:ascii="Perpetua" w:hAnsi="Perpetua" w:cs="Arial"/>
          <w:sz w:val="24"/>
          <w:szCs w:val="24"/>
        </w:rPr>
      </w:pPr>
    </w:p>
    <w:p w14:paraId="77600345" w14:textId="77777777" w:rsidR="00BD22DE" w:rsidRPr="00A262E4" w:rsidRDefault="00BD22DE" w:rsidP="003F6BD2">
      <w:pPr>
        <w:pStyle w:val="Prrafodelista"/>
        <w:numPr>
          <w:ilvl w:val="0"/>
          <w:numId w:val="3"/>
        </w:numPr>
        <w:spacing w:line="360" w:lineRule="auto"/>
        <w:jc w:val="both"/>
        <w:rPr>
          <w:rFonts w:ascii="Perpetua" w:hAnsi="Perpetua" w:cs="Arial"/>
          <w:sz w:val="24"/>
          <w:szCs w:val="24"/>
        </w:rPr>
      </w:pPr>
      <w:r w:rsidRPr="00A262E4">
        <w:rPr>
          <w:rFonts w:ascii="Perpetua" w:hAnsi="Perpetua" w:cs="Arial"/>
          <w:sz w:val="24"/>
          <w:szCs w:val="24"/>
        </w:rPr>
        <w:t xml:space="preserve">Cubas-Vega N, López P, </w:t>
      </w:r>
      <w:proofErr w:type="spellStart"/>
      <w:r w:rsidRPr="00A262E4">
        <w:rPr>
          <w:rFonts w:ascii="Perpetua" w:hAnsi="Perpetua" w:cs="Arial"/>
          <w:sz w:val="24"/>
          <w:szCs w:val="24"/>
        </w:rPr>
        <w:t>Baia</w:t>
      </w:r>
      <w:proofErr w:type="spellEnd"/>
      <w:r w:rsidRPr="00A262E4">
        <w:rPr>
          <w:rFonts w:ascii="Perpetua" w:hAnsi="Perpetua" w:cs="Arial"/>
          <w:sz w:val="24"/>
          <w:szCs w:val="24"/>
        </w:rPr>
        <w:t xml:space="preserve"> DC, </w:t>
      </w:r>
      <w:proofErr w:type="spellStart"/>
      <w:r w:rsidRPr="00A262E4">
        <w:rPr>
          <w:rFonts w:ascii="Perpetua" w:hAnsi="Perpetua" w:cs="Arial"/>
          <w:sz w:val="24"/>
          <w:szCs w:val="24"/>
        </w:rPr>
        <w:t>Sampaio</w:t>
      </w:r>
      <w:proofErr w:type="spellEnd"/>
      <w:r w:rsidRPr="00A262E4">
        <w:rPr>
          <w:rFonts w:ascii="Perpetua" w:hAnsi="Perpetua" w:cs="Arial"/>
          <w:sz w:val="24"/>
          <w:szCs w:val="24"/>
        </w:rPr>
        <w:t xml:space="preserve"> VS, </w:t>
      </w:r>
      <w:proofErr w:type="spellStart"/>
      <w:r w:rsidRPr="00A262E4">
        <w:rPr>
          <w:rFonts w:ascii="Perpetua" w:hAnsi="Perpetua" w:cs="Arial"/>
          <w:sz w:val="24"/>
          <w:szCs w:val="24"/>
        </w:rPr>
        <w:t>Jardim</w:t>
      </w:r>
      <w:proofErr w:type="spellEnd"/>
      <w:r w:rsidRPr="00A262E4">
        <w:rPr>
          <w:rFonts w:ascii="Perpetua" w:hAnsi="Perpetua" w:cs="Arial"/>
          <w:sz w:val="24"/>
          <w:szCs w:val="24"/>
        </w:rPr>
        <w:t xml:space="preserve"> BA, Santana MF. </w:t>
      </w:r>
      <w:r w:rsidR="0025765E" w:rsidRPr="00A262E4">
        <w:rPr>
          <w:rFonts w:ascii="Perpetua" w:hAnsi="Perpetua" w:cs="Arial"/>
          <w:sz w:val="24"/>
          <w:szCs w:val="24"/>
          <w:lang w:val="en-US"/>
        </w:rPr>
        <w:t xml:space="preserve">Early antiretroviral therapy in AIDS patients presenting with Toxoplasma </w:t>
      </w:r>
      <w:proofErr w:type="spellStart"/>
      <w:r w:rsidR="0025765E" w:rsidRPr="00A262E4">
        <w:rPr>
          <w:rFonts w:ascii="Perpetua" w:hAnsi="Perpetua" w:cs="Arial"/>
          <w:sz w:val="24"/>
          <w:szCs w:val="24"/>
          <w:lang w:val="en-US"/>
        </w:rPr>
        <w:t>gondii</w:t>
      </w:r>
      <w:proofErr w:type="spellEnd"/>
      <w:r w:rsidR="0025765E" w:rsidRPr="00A262E4">
        <w:rPr>
          <w:rFonts w:ascii="Perpetua" w:hAnsi="Perpetua" w:cs="Arial"/>
          <w:sz w:val="24"/>
          <w:szCs w:val="24"/>
          <w:lang w:val="en-US"/>
        </w:rPr>
        <w:t xml:space="preserve"> encephalitis is associated with more sequelae but not increased m</w:t>
      </w:r>
      <w:r w:rsidRPr="00A262E4">
        <w:rPr>
          <w:rFonts w:ascii="Perpetua" w:hAnsi="Perpetua" w:cs="Arial"/>
          <w:sz w:val="24"/>
          <w:szCs w:val="24"/>
          <w:lang w:val="en-US"/>
        </w:rPr>
        <w:t xml:space="preserve">ortality. </w:t>
      </w:r>
      <w:r w:rsidRPr="00A262E4">
        <w:rPr>
          <w:rFonts w:ascii="Perpetua" w:hAnsi="Perpetua" w:cs="Arial"/>
          <w:sz w:val="24"/>
          <w:szCs w:val="24"/>
        </w:rPr>
        <w:t xml:space="preserve">Front </w:t>
      </w:r>
      <w:proofErr w:type="spellStart"/>
      <w:r w:rsidRPr="00A262E4">
        <w:rPr>
          <w:rFonts w:ascii="Perpetua" w:hAnsi="Perpetua" w:cs="Arial"/>
          <w:sz w:val="24"/>
          <w:szCs w:val="24"/>
        </w:rPr>
        <w:t>Med</w:t>
      </w:r>
      <w:proofErr w:type="spellEnd"/>
      <w:r w:rsidRPr="00A262E4">
        <w:rPr>
          <w:rFonts w:ascii="Perpetua" w:hAnsi="Perpetua" w:cs="Arial"/>
          <w:sz w:val="24"/>
          <w:szCs w:val="24"/>
        </w:rPr>
        <w:t xml:space="preserve">. 2022; 9:759091. </w:t>
      </w:r>
      <w:hyperlink r:id="rId33" w:history="1">
        <w:r w:rsidRPr="00A262E4">
          <w:rPr>
            <w:rStyle w:val="Hipervnculo"/>
            <w:rFonts w:ascii="Perpetua" w:hAnsi="Perpetua" w:cs="Arial"/>
            <w:sz w:val="24"/>
            <w:szCs w:val="24"/>
          </w:rPr>
          <w:t>https://10.3389/fmed.2022.759091</w:t>
        </w:r>
      </w:hyperlink>
      <w:r w:rsidRPr="00A262E4">
        <w:rPr>
          <w:rFonts w:ascii="Perpetua" w:hAnsi="Perpetua" w:cs="Arial"/>
          <w:sz w:val="24"/>
          <w:szCs w:val="24"/>
        </w:rPr>
        <w:t xml:space="preserve">. </w:t>
      </w:r>
    </w:p>
    <w:p w14:paraId="396A607C" w14:textId="77777777" w:rsidR="00BD22DE" w:rsidRPr="00A262E4" w:rsidRDefault="00BD22DE" w:rsidP="003F6BD2">
      <w:pPr>
        <w:pStyle w:val="Prrafodelista"/>
        <w:spacing w:line="360" w:lineRule="auto"/>
        <w:jc w:val="both"/>
        <w:rPr>
          <w:rFonts w:ascii="Perpetua" w:hAnsi="Perpetua" w:cs="Arial"/>
          <w:sz w:val="24"/>
          <w:szCs w:val="24"/>
        </w:rPr>
      </w:pPr>
    </w:p>
    <w:p w14:paraId="4104369C" w14:textId="77777777" w:rsidR="00BD22DE" w:rsidRPr="00A262E4" w:rsidRDefault="00BD22DE" w:rsidP="003F6BD2">
      <w:pPr>
        <w:pStyle w:val="Prrafodelista"/>
        <w:numPr>
          <w:ilvl w:val="0"/>
          <w:numId w:val="3"/>
        </w:numPr>
        <w:spacing w:line="360" w:lineRule="auto"/>
        <w:jc w:val="both"/>
        <w:rPr>
          <w:rFonts w:ascii="Perpetua" w:hAnsi="Perpetua" w:cs="Arial"/>
          <w:sz w:val="24"/>
          <w:szCs w:val="24"/>
        </w:rPr>
      </w:pPr>
      <w:proofErr w:type="spellStart"/>
      <w:r w:rsidRPr="00A262E4">
        <w:rPr>
          <w:rFonts w:ascii="Perpetua" w:hAnsi="Perpetua" w:cs="Arial"/>
          <w:sz w:val="24"/>
          <w:szCs w:val="24"/>
        </w:rPr>
        <w:t>Aljure</w:t>
      </w:r>
      <w:proofErr w:type="spellEnd"/>
      <w:r w:rsidRPr="00A262E4">
        <w:rPr>
          <w:rFonts w:ascii="Perpetua" w:hAnsi="Perpetua" w:cs="Arial"/>
          <w:sz w:val="24"/>
          <w:szCs w:val="24"/>
        </w:rPr>
        <w:t xml:space="preserve"> VJ, Pulido Arias EA, Rodríguez Monroy JA, Rodríguez </w:t>
      </w:r>
      <w:proofErr w:type="spellStart"/>
      <w:r w:rsidRPr="00A262E4">
        <w:rPr>
          <w:rFonts w:ascii="Perpetua" w:hAnsi="Perpetua" w:cs="Arial"/>
          <w:sz w:val="24"/>
          <w:szCs w:val="24"/>
        </w:rPr>
        <w:t>Mateus</w:t>
      </w:r>
      <w:proofErr w:type="spellEnd"/>
      <w:r w:rsidRPr="00A262E4">
        <w:rPr>
          <w:rFonts w:ascii="Perpetua" w:hAnsi="Perpetua" w:cs="Arial"/>
          <w:sz w:val="24"/>
          <w:szCs w:val="24"/>
        </w:rPr>
        <w:t xml:space="preserve"> MN, Ramos Hernández JA. Diagnóstico diferencial de lesiones cerebrales con realce en anillo en tomografía </w:t>
      </w:r>
      <w:r w:rsidRPr="00A262E4">
        <w:rPr>
          <w:rFonts w:ascii="Perpetua" w:hAnsi="Perpetua" w:cs="Arial"/>
          <w:sz w:val="24"/>
          <w:szCs w:val="24"/>
        </w:rPr>
        <w:lastRenderedPageBreak/>
        <w:t xml:space="preserve">computarizada y resonancia magnética. </w:t>
      </w:r>
      <w:proofErr w:type="spellStart"/>
      <w:r w:rsidRPr="00A262E4">
        <w:rPr>
          <w:rFonts w:ascii="Perpetua" w:hAnsi="Perpetua" w:cs="Arial"/>
          <w:sz w:val="24"/>
          <w:szCs w:val="24"/>
        </w:rPr>
        <w:t>Duazary</w:t>
      </w:r>
      <w:proofErr w:type="spellEnd"/>
      <w:r w:rsidRPr="00A262E4">
        <w:rPr>
          <w:rFonts w:ascii="Perpetua" w:hAnsi="Perpetua" w:cs="Arial"/>
          <w:sz w:val="24"/>
          <w:szCs w:val="24"/>
        </w:rPr>
        <w:t xml:space="preserve">. 2016. 13(2):149-58. </w:t>
      </w:r>
      <w:hyperlink r:id="rId34" w:history="1">
        <w:r w:rsidRPr="00A262E4">
          <w:rPr>
            <w:rStyle w:val="Hipervnculo"/>
            <w:rFonts w:ascii="Perpetua" w:hAnsi="Perpetua" w:cs="Arial"/>
            <w:sz w:val="24"/>
            <w:szCs w:val="24"/>
          </w:rPr>
          <w:t>https://revistas.unimagdalena.edu.co/index.php/</w:t>
        </w:r>
      </w:hyperlink>
      <w:r w:rsidR="00B07C46" w:rsidRPr="00A262E4">
        <w:rPr>
          <w:rStyle w:val="Hipervnculo"/>
          <w:rFonts w:ascii="Perpetua" w:hAnsi="Perpetua" w:cs="Arial"/>
          <w:sz w:val="24"/>
          <w:szCs w:val="24"/>
        </w:rPr>
        <w:t>.</w:t>
      </w:r>
    </w:p>
    <w:p w14:paraId="59AFD609" w14:textId="77777777" w:rsidR="00BD22DE" w:rsidRPr="00A262E4" w:rsidRDefault="00BD22DE" w:rsidP="003F6BD2">
      <w:pPr>
        <w:pStyle w:val="Prrafodelista"/>
        <w:spacing w:line="360" w:lineRule="auto"/>
        <w:jc w:val="both"/>
        <w:rPr>
          <w:rFonts w:ascii="Perpetua" w:hAnsi="Perpetua" w:cs="Arial"/>
          <w:sz w:val="24"/>
          <w:szCs w:val="24"/>
        </w:rPr>
      </w:pPr>
    </w:p>
    <w:p w14:paraId="49B30F87" w14:textId="77777777" w:rsidR="00BD22DE" w:rsidRPr="00A262E4" w:rsidRDefault="00BD22DE" w:rsidP="003F6BD2">
      <w:pPr>
        <w:pStyle w:val="Prrafodelista"/>
        <w:numPr>
          <w:ilvl w:val="0"/>
          <w:numId w:val="3"/>
        </w:numPr>
        <w:spacing w:line="360" w:lineRule="auto"/>
        <w:jc w:val="both"/>
        <w:rPr>
          <w:rFonts w:ascii="Perpetua" w:hAnsi="Perpetua" w:cs="Arial"/>
          <w:sz w:val="24"/>
          <w:szCs w:val="24"/>
        </w:rPr>
      </w:pPr>
      <w:r w:rsidRPr="00A262E4">
        <w:rPr>
          <w:rFonts w:ascii="Perpetua" w:hAnsi="Perpetua" w:cs="Arial"/>
          <w:sz w:val="24"/>
          <w:szCs w:val="24"/>
        </w:rPr>
        <w:t xml:space="preserve">Calero SR, </w:t>
      </w:r>
      <w:proofErr w:type="spellStart"/>
      <w:r w:rsidRPr="00A262E4">
        <w:rPr>
          <w:rFonts w:ascii="Perpetua" w:hAnsi="Perpetua" w:cs="Arial"/>
          <w:sz w:val="24"/>
          <w:szCs w:val="24"/>
        </w:rPr>
        <w:t>Samitier</w:t>
      </w:r>
      <w:proofErr w:type="spellEnd"/>
      <w:r w:rsidRPr="00A262E4">
        <w:rPr>
          <w:rFonts w:ascii="Perpetua" w:hAnsi="Perpetua" w:cs="Arial"/>
          <w:sz w:val="24"/>
          <w:szCs w:val="24"/>
        </w:rPr>
        <w:t xml:space="preserve"> Pastor A, Delgado Ricote C, </w:t>
      </w:r>
      <w:proofErr w:type="spellStart"/>
      <w:r w:rsidRPr="00A262E4">
        <w:rPr>
          <w:rFonts w:ascii="Perpetua" w:hAnsi="Perpetua" w:cs="Arial"/>
          <w:sz w:val="24"/>
          <w:szCs w:val="24"/>
        </w:rPr>
        <w:t>Pasetto</w:t>
      </w:r>
      <w:proofErr w:type="spellEnd"/>
      <w:r w:rsidRPr="00A262E4">
        <w:rPr>
          <w:rFonts w:ascii="Perpetua" w:hAnsi="Perpetua" w:cs="Arial"/>
          <w:sz w:val="24"/>
          <w:szCs w:val="24"/>
        </w:rPr>
        <w:t xml:space="preserve"> XS. Patología intracraneal asociada a VIH. 33 Congreso Nacional SERAM. 2018. </w:t>
      </w:r>
      <w:hyperlink r:id="rId35" w:history="1">
        <w:r w:rsidRPr="00A262E4">
          <w:rPr>
            <w:rStyle w:val="Hipervnculo"/>
            <w:rFonts w:ascii="Perpetua" w:hAnsi="Perpetua" w:cs="Arial"/>
            <w:sz w:val="24"/>
            <w:szCs w:val="24"/>
          </w:rPr>
          <w:t>https://piper.espacio-seram.com/index.php/seram/article/view/253/195</w:t>
        </w:r>
      </w:hyperlink>
      <w:r w:rsidR="00B07C46" w:rsidRPr="00A262E4">
        <w:rPr>
          <w:rStyle w:val="Hipervnculo"/>
          <w:rFonts w:ascii="Perpetua" w:hAnsi="Perpetua" w:cs="Arial"/>
          <w:sz w:val="24"/>
          <w:szCs w:val="24"/>
        </w:rPr>
        <w:t>.</w:t>
      </w:r>
    </w:p>
    <w:p w14:paraId="75679C56" w14:textId="77777777" w:rsidR="00BD22DE" w:rsidRPr="00A262E4" w:rsidRDefault="00BD22DE" w:rsidP="003F6BD2">
      <w:pPr>
        <w:spacing w:line="360" w:lineRule="auto"/>
        <w:rPr>
          <w:rFonts w:ascii="Perpetua" w:hAnsi="Perpetua"/>
        </w:rPr>
      </w:pPr>
    </w:p>
    <w:sectPr w:rsidR="00BD22DE" w:rsidRPr="00A262E4" w:rsidSect="0041499F">
      <w:headerReference w:type="default" r:id="rId36"/>
      <w:pgSz w:w="11906" w:h="16838"/>
      <w:pgMar w:top="1417" w:right="170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10B42" w14:textId="77777777" w:rsidR="003D3963" w:rsidRDefault="003D3963" w:rsidP="009D256E">
      <w:r>
        <w:separator/>
      </w:r>
    </w:p>
  </w:endnote>
  <w:endnote w:type="continuationSeparator" w:id="0">
    <w:p w14:paraId="29C2E49F" w14:textId="77777777" w:rsidR="003D3963" w:rsidRDefault="003D3963" w:rsidP="009D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5BEA6" w14:textId="77777777" w:rsidR="003D3963" w:rsidRDefault="003D3963" w:rsidP="009D256E">
      <w:r>
        <w:separator/>
      </w:r>
    </w:p>
  </w:footnote>
  <w:footnote w:type="continuationSeparator" w:id="0">
    <w:p w14:paraId="6EB6AD26" w14:textId="77777777" w:rsidR="003D3963" w:rsidRDefault="003D3963" w:rsidP="009D25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47350" w14:textId="47EDA132" w:rsidR="009D256E" w:rsidRDefault="009D256E">
    <w:pPr>
      <w:pStyle w:val="Encabezado"/>
    </w:pPr>
    <w:r>
      <w:rPr>
        <w:rFonts w:ascii="Perpetua" w:hAnsi="Perpetua" w:cs="Arial"/>
        <w:b/>
        <w:bCs/>
        <w:noProof/>
        <w:color w:val="000000"/>
        <w:kern w:val="24"/>
      </w:rPr>
      <w:drawing>
        <wp:inline distT="0" distB="0" distL="0" distR="0" wp14:anchorId="024DCAD2" wp14:editId="0EDBF3E0">
          <wp:extent cx="5638800" cy="7124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977" cy="71640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1EC9"/>
    <w:multiLevelType w:val="hybridMultilevel"/>
    <w:tmpl w:val="C86EC758"/>
    <w:lvl w:ilvl="0" w:tplc="D34CCCC2">
      <w:start w:val="1"/>
      <w:numFmt w:val="decimal"/>
      <w:lvlText w:val="%1."/>
      <w:lvlJc w:val="left"/>
      <w:pPr>
        <w:ind w:left="720" w:hanging="360"/>
      </w:pPr>
      <w:rPr>
        <w:rFonts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6779D8"/>
    <w:multiLevelType w:val="hybridMultilevel"/>
    <w:tmpl w:val="9B64BE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7572B1"/>
    <w:multiLevelType w:val="hybridMultilevel"/>
    <w:tmpl w:val="FBBAC576"/>
    <w:lvl w:ilvl="0" w:tplc="0C0A000F">
      <w:start w:val="7"/>
      <w:numFmt w:val="decimal"/>
      <w:lvlText w:val="%1."/>
      <w:lvlJc w:val="left"/>
      <w:pPr>
        <w:ind w:left="720" w:hanging="360"/>
      </w:pPr>
      <w:rPr>
        <w:rFonts w:hint="default"/>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D3"/>
    <w:rsid w:val="00006448"/>
    <w:rsid w:val="00006893"/>
    <w:rsid w:val="00006E48"/>
    <w:rsid w:val="0002422D"/>
    <w:rsid w:val="000338ED"/>
    <w:rsid w:val="00036825"/>
    <w:rsid w:val="0003762A"/>
    <w:rsid w:val="00047211"/>
    <w:rsid w:val="00051EBC"/>
    <w:rsid w:val="00055127"/>
    <w:rsid w:val="00060A21"/>
    <w:rsid w:val="00075314"/>
    <w:rsid w:val="00080D7D"/>
    <w:rsid w:val="00094103"/>
    <w:rsid w:val="000A2175"/>
    <w:rsid w:val="000A579B"/>
    <w:rsid w:val="000B2C8B"/>
    <w:rsid w:val="000E7217"/>
    <w:rsid w:val="001203C7"/>
    <w:rsid w:val="00133280"/>
    <w:rsid w:val="00150C89"/>
    <w:rsid w:val="00150DEA"/>
    <w:rsid w:val="00156741"/>
    <w:rsid w:val="00170472"/>
    <w:rsid w:val="001712E2"/>
    <w:rsid w:val="00187695"/>
    <w:rsid w:val="001876CB"/>
    <w:rsid w:val="001B4F45"/>
    <w:rsid w:val="001C2F8F"/>
    <w:rsid w:val="001C4194"/>
    <w:rsid w:val="001C7713"/>
    <w:rsid w:val="001D1B2B"/>
    <w:rsid w:val="001D7571"/>
    <w:rsid w:val="001E7BCD"/>
    <w:rsid w:val="001F57BB"/>
    <w:rsid w:val="00201376"/>
    <w:rsid w:val="0020522F"/>
    <w:rsid w:val="00232674"/>
    <w:rsid w:val="00233E94"/>
    <w:rsid w:val="00235BDB"/>
    <w:rsid w:val="00240B4B"/>
    <w:rsid w:val="00245F52"/>
    <w:rsid w:val="0025225A"/>
    <w:rsid w:val="0025765E"/>
    <w:rsid w:val="00260B32"/>
    <w:rsid w:val="002622B1"/>
    <w:rsid w:val="00266E1C"/>
    <w:rsid w:val="00267997"/>
    <w:rsid w:val="00275B64"/>
    <w:rsid w:val="00282816"/>
    <w:rsid w:val="00291D65"/>
    <w:rsid w:val="00293B22"/>
    <w:rsid w:val="002A1C8B"/>
    <w:rsid w:val="002A1DD3"/>
    <w:rsid w:val="002A561A"/>
    <w:rsid w:val="002C6162"/>
    <w:rsid w:val="002E0E11"/>
    <w:rsid w:val="002E1D38"/>
    <w:rsid w:val="002E26E1"/>
    <w:rsid w:val="002F6020"/>
    <w:rsid w:val="003006CC"/>
    <w:rsid w:val="00301042"/>
    <w:rsid w:val="00316792"/>
    <w:rsid w:val="00323D91"/>
    <w:rsid w:val="00325628"/>
    <w:rsid w:val="00332085"/>
    <w:rsid w:val="00367C35"/>
    <w:rsid w:val="00373821"/>
    <w:rsid w:val="003879D2"/>
    <w:rsid w:val="003911A9"/>
    <w:rsid w:val="0039129A"/>
    <w:rsid w:val="0039275B"/>
    <w:rsid w:val="003978E2"/>
    <w:rsid w:val="003A0131"/>
    <w:rsid w:val="003B6840"/>
    <w:rsid w:val="003D0AE6"/>
    <w:rsid w:val="003D3963"/>
    <w:rsid w:val="003E017A"/>
    <w:rsid w:val="003E0842"/>
    <w:rsid w:val="003E6CE3"/>
    <w:rsid w:val="003F6BD2"/>
    <w:rsid w:val="00400196"/>
    <w:rsid w:val="004035D1"/>
    <w:rsid w:val="00405933"/>
    <w:rsid w:val="00413D74"/>
    <w:rsid w:val="0041499F"/>
    <w:rsid w:val="004206B8"/>
    <w:rsid w:val="00423018"/>
    <w:rsid w:val="00457327"/>
    <w:rsid w:val="00473A97"/>
    <w:rsid w:val="00481A8F"/>
    <w:rsid w:val="00484A28"/>
    <w:rsid w:val="004A062A"/>
    <w:rsid w:val="004B53F5"/>
    <w:rsid w:val="004B621F"/>
    <w:rsid w:val="004D375A"/>
    <w:rsid w:val="004E69B5"/>
    <w:rsid w:val="004F14CE"/>
    <w:rsid w:val="004F3CB9"/>
    <w:rsid w:val="00511AC4"/>
    <w:rsid w:val="0052225B"/>
    <w:rsid w:val="00524931"/>
    <w:rsid w:val="00530129"/>
    <w:rsid w:val="00542E3A"/>
    <w:rsid w:val="00546D56"/>
    <w:rsid w:val="0054733D"/>
    <w:rsid w:val="00550206"/>
    <w:rsid w:val="00557707"/>
    <w:rsid w:val="00564E89"/>
    <w:rsid w:val="00571CFE"/>
    <w:rsid w:val="00590343"/>
    <w:rsid w:val="005921AF"/>
    <w:rsid w:val="00593C62"/>
    <w:rsid w:val="005968D9"/>
    <w:rsid w:val="005A789B"/>
    <w:rsid w:val="005B01E6"/>
    <w:rsid w:val="005B0D1F"/>
    <w:rsid w:val="005B614B"/>
    <w:rsid w:val="005C0FB0"/>
    <w:rsid w:val="005D011F"/>
    <w:rsid w:val="005E2A55"/>
    <w:rsid w:val="0060354C"/>
    <w:rsid w:val="006102C0"/>
    <w:rsid w:val="00612633"/>
    <w:rsid w:val="006343A4"/>
    <w:rsid w:val="00651413"/>
    <w:rsid w:val="00651A79"/>
    <w:rsid w:val="00653C0F"/>
    <w:rsid w:val="00654596"/>
    <w:rsid w:val="0066126A"/>
    <w:rsid w:val="00672257"/>
    <w:rsid w:val="00687D86"/>
    <w:rsid w:val="00695AAF"/>
    <w:rsid w:val="00697524"/>
    <w:rsid w:val="006A1C12"/>
    <w:rsid w:val="006A4DCE"/>
    <w:rsid w:val="006B35C5"/>
    <w:rsid w:val="006B6D50"/>
    <w:rsid w:val="006C18DE"/>
    <w:rsid w:val="006C4988"/>
    <w:rsid w:val="006D7239"/>
    <w:rsid w:val="006E0FA4"/>
    <w:rsid w:val="006E7B3C"/>
    <w:rsid w:val="006F4DCD"/>
    <w:rsid w:val="007074D6"/>
    <w:rsid w:val="007129A8"/>
    <w:rsid w:val="00715CB9"/>
    <w:rsid w:val="00723A37"/>
    <w:rsid w:val="007264C7"/>
    <w:rsid w:val="007657CF"/>
    <w:rsid w:val="00776D01"/>
    <w:rsid w:val="00783FA5"/>
    <w:rsid w:val="007856BE"/>
    <w:rsid w:val="00785BA8"/>
    <w:rsid w:val="007949A6"/>
    <w:rsid w:val="007A4C2B"/>
    <w:rsid w:val="007B4420"/>
    <w:rsid w:val="007C6CED"/>
    <w:rsid w:val="007D0507"/>
    <w:rsid w:val="007D17E3"/>
    <w:rsid w:val="007D304C"/>
    <w:rsid w:val="007E3C94"/>
    <w:rsid w:val="007F1DF9"/>
    <w:rsid w:val="007F35A9"/>
    <w:rsid w:val="00805361"/>
    <w:rsid w:val="00813BF7"/>
    <w:rsid w:val="00845F21"/>
    <w:rsid w:val="0086165F"/>
    <w:rsid w:val="00861E3C"/>
    <w:rsid w:val="00862C0D"/>
    <w:rsid w:val="008677D5"/>
    <w:rsid w:val="0088719D"/>
    <w:rsid w:val="0089145D"/>
    <w:rsid w:val="008A6C47"/>
    <w:rsid w:val="008C4ADF"/>
    <w:rsid w:val="008E05AE"/>
    <w:rsid w:val="008E1A6C"/>
    <w:rsid w:val="008F0778"/>
    <w:rsid w:val="008F4BDD"/>
    <w:rsid w:val="00901DE6"/>
    <w:rsid w:val="00904C0C"/>
    <w:rsid w:val="009158A0"/>
    <w:rsid w:val="009163EF"/>
    <w:rsid w:val="00916E5D"/>
    <w:rsid w:val="0093003B"/>
    <w:rsid w:val="009452D3"/>
    <w:rsid w:val="00964EF2"/>
    <w:rsid w:val="0096530B"/>
    <w:rsid w:val="00965B04"/>
    <w:rsid w:val="009706A6"/>
    <w:rsid w:val="00975606"/>
    <w:rsid w:val="00985FAF"/>
    <w:rsid w:val="00993506"/>
    <w:rsid w:val="009951A7"/>
    <w:rsid w:val="009A3014"/>
    <w:rsid w:val="009A502B"/>
    <w:rsid w:val="009A70E6"/>
    <w:rsid w:val="009A7173"/>
    <w:rsid w:val="009D256E"/>
    <w:rsid w:val="009F323B"/>
    <w:rsid w:val="009F799F"/>
    <w:rsid w:val="00A07A70"/>
    <w:rsid w:val="00A13B63"/>
    <w:rsid w:val="00A20B37"/>
    <w:rsid w:val="00A262E4"/>
    <w:rsid w:val="00A275E6"/>
    <w:rsid w:val="00A40638"/>
    <w:rsid w:val="00A43E62"/>
    <w:rsid w:val="00A5228F"/>
    <w:rsid w:val="00A538F8"/>
    <w:rsid w:val="00A64F3F"/>
    <w:rsid w:val="00A85418"/>
    <w:rsid w:val="00A9334A"/>
    <w:rsid w:val="00A93803"/>
    <w:rsid w:val="00A93ABC"/>
    <w:rsid w:val="00AA78BC"/>
    <w:rsid w:val="00AD221C"/>
    <w:rsid w:val="00AD33CB"/>
    <w:rsid w:val="00AE7C6A"/>
    <w:rsid w:val="00AF01AD"/>
    <w:rsid w:val="00B00300"/>
    <w:rsid w:val="00B06C06"/>
    <w:rsid w:val="00B07C46"/>
    <w:rsid w:val="00B1237B"/>
    <w:rsid w:val="00B22072"/>
    <w:rsid w:val="00B276DB"/>
    <w:rsid w:val="00B3104D"/>
    <w:rsid w:val="00B3394A"/>
    <w:rsid w:val="00B40559"/>
    <w:rsid w:val="00B42BB9"/>
    <w:rsid w:val="00B508B1"/>
    <w:rsid w:val="00B869A4"/>
    <w:rsid w:val="00B86BB7"/>
    <w:rsid w:val="00B91FE0"/>
    <w:rsid w:val="00B95C59"/>
    <w:rsid w:val="00BB7313"/>
    <w:rsid w:val="00BD22DE"/>
    <w:rsid w:val="00BE2B0C"/>
    <w:rsid w:val="00BE2F7C"/>
    <w:rsid w:val="00BE368C"/>
    <w:rsid w:val="00BE3835"/>
    <w:rsid w:val="00BF449A"/>
    <w:rsid w:val="00C06E41"/>
    <w:rsid w:val="00C26AA1"/>
    <w:rsid w:val="00C33103"/>
    <w:rsid w:val="00C45EF0"/>
    <w:rsid w:val="00C634E4"/>
    <w:rsid w:val="00C647E1"/>
    <w:rsid w:val="00C72F48"/>
    <w:rsid w:val="00C77093"/>
    <w:rsid w:val="00C80D56"/>
    <w:rsid w:val="00C8555E"/>
    <w:rsid w:val="00C86AB0"/>
    <w:rsid w:val="00CA3EE2"/>
    <w:rsid w:val="00CA515D"/>
    <w:rsid w:val="00CA52BC"/>
    <w:rsid w:val="00CC0928"/>
    <w:rsid w:val="00CC0E33"/>
    <w:rsid w:val="00CC7F5A"/>
    <w:rsid w:val="00CD7479"/>
    <w:rsid w:val="00CF4C0B"/>
    <w:rsid w:val="00D061D6"/>
    <w:rsid w:val="00D13A4A"/>
    <w:rsid w:val="00D17CE2"/>
    <w:rsid w:val="00D2435C"/>
    <w:rsid w:val="00D41BE6"/>
    <w:rsid w:val="00D42ADB"/>
    <w:rsid w:val="00D445E7"/>
    <w:rsid w:val="00D476D4"/>
    <w:rsid w:val="00D55FC2"/>
    <w:rsid w:val="00D60E9C"/>
    <w:rsid w:val="00D63625"/>
    <w:rsid w:val="00D65896"/>
    <w:rsid w:val="00D70622"/>
    <w:rsid w:val="00D70DCE"/>
    <w:rsid w:val="00D854F0"/>
    <w:rsid w:val="00DA07EA"/>
    <w:rsid w:val="00DB7541"/>
    <w:rsid w:val="00DD0B88"/>
    <w:rsid w:val="00DD5A69"/>
    <w:rsid w:val="00DF4E91"/>
    <w:rsid w:val="00DF6704"/>
    <w:rsid w:val="00DF67D0"/>
    <w:rsid w:val="00E074B4"/>
    <w:rsid w:val="00E141DC"/>
    <w:rsid w:val="00E22781"/>
    <w:rsid w:val="00E232AF"/>
    <w:rsid w:val="00E30590"/>
    <w:rsid w:val="00E3360A"/>
    <w:rsid w:val="00E46897"/>
    <w:rsid w:val="00E52574"/>
    <w:rsid w:val="00E7657B"/>
    <w:rsid w:val="00E91DAE"/>
    <w:rsid w:val="00E91DD4"/>
    <w:rsid w:val="00EA7AD0"/>
    <w:rsid w:val="00EB0E0F"/>
    <w:rsid w:val="00EB2C61"/>
    <w:rsid w:val="00EC0D60"/>
    <w:rsid w:val="00EC3317"/>
    <w:rsid w:val="00ED0456"/>
    <w:rsid w:val="00EE65AD"/>
    <w:rsid w:val="00EF0222"/>
    <w:rsid w:val="00EF2338"/>
    <w:rsid w:val="00EF581B"/>
    <w:rsid w:val="00F27CED"/>
    <w:rsid w:val="00F337E2"/>
    <w:rsid w:val="00F35EE5"/>
    <w:rsid w:val="00F442C1"/>
    <w:rsid w:val="00F4477A"/>
    <w:rsid w:val="00F44A90"/>
    <w:rsid w:val="00F44EF0"/>
    <w:rsid w:val="00F466A3"/>
    <w:rsid w:val="00F46CF4"/>
    <w:rsid w:val="00F60237"/>
    <w:rsid w:val="00F70EC7"/>
    <w:rsid w:val="00F9398B"/>
    <w:rsid w:val="00FA1307"/>
    <w:rsid w:val="00FA3F2F"/>
    <w:rsid w:val="00FA6649"/>
    <w:rsid w:val="00FB3352"/>
    <w:rsid w:val="00FB526B"/>
    <w:rsid w:val="00FC0684"/>
    <w:rsid w:val="00FC5F25"/>
    <w:rsid w:val="00FD3D5C"/>
    <w:rsid w:val="00FE2A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9874"/>
  <w15:docId w15:val="{3B5F97D4-7027-4DA5-BEC5-50FBF203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7C"/>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link w:val="Ttulo2Car"/>
    <w:uiPriority w:val="9"/>
    <w:qFormat/>
    <w:rsid w:val="005B01E6"/>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2F7C"/>
    <w:rPr>
      <w:color w:val="0000FF" w:themeColor="hyperlink"/>
      <w:u w:val="single"/>
    </w:rPr>
  </w:style>
  <w:style w:type="paragraph" w:customStyle="1" w:styleId="Default">
    <w:name w:val="Default"/>
    <w:rsid w:val="00EF23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A64F3F"/>
    <w:rPr>
      <w:rFonts w:cs="Trebuchet MS"/>
      <w:b/>
      <w:bCs/>
      <w:color w:val="000000"/>
      <w:sz w:val="20"/>
      <w:szCs w:val="20"/>
    </w:rPr>
  </w:style>
  <w:style w:type="character" w:customStyle="1" w:styleId="Ttulo2Car">
    <w:name w:val="Título 2 Car"/>
    <w:basedOn w:val="Fuentedeprrafopredeter"/>
    <w:link w:val="Ttulo2"/>
    <w:uiPriority w:val="9"/>
    <w:rsid w:val="005B01E6"/>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66126A"/>
    <w:pPr>
      <w:spacing w:before="100" w:beforeAutospacing="1" w:after="100" w:afterAutospacing="1"/>
    </w:pPr>
  </w:style>
  <w:style w:type="paragraph" w:styleId="Textodeglobo">
    <w:name w:val="Balloon Text"/>
    <w:basedOn w:val="Normal"/>
    <w:link w:val="TextodegloboCar"/>
    <w:uiPriority w:val="99"/>
    <w:semiHidden/>
    <w:unhideWhenUsed/>
    <w:rsid w:val="00B276DB"/>
    <w:rPr>
      <w:rFonts w:ascii="Tahoma" w:hAnsi="Tahoma" w:cs="Tahoma"/>
      <w:sz w:val="16"/>
      <w:szCs w:val="16"/>
    </w:rPr>
  </w:style>
  <w:style w:type="character" w:customStyle="1" w:styleId="TextodegloboCar">
    <w:name w:val="Texto de globo Car"/>
    <w:basedOn w:val="Fuentedeprrafopredeter"/>
    <w:link w:val="Textodeglobo"/>
    <w:uiPriority w:val="99"/>
    <w:semiHidden/>
    <w:rsid w:val="00B276DB"/>
    <w:rPr>
      <w:rFonts w:ascii="Tahoma" w:eastAsia="Times New Roman" w:hAnsi="Tahoma" w:cs="Tahoma"/>
      <w:sz w:val="16"/>
      <w:szCs w:val="16"/>
      <w:lang w:eastAsia="es-ES"/>
    </w:rPr>
  </w:style>
  <w:style w:type="paragraph" w:styleId="Prrafodelista">
    <w:name w:val="List Paragraph"/>
    <w:basedOn w:val="Normal"/>
    <w:uiPriority w:val="34"/>
    <w:qFormat/>
    <w:rsid w:val="00FB3352"/>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9D256E"/>
    <w:pPr>
      <w:tabs>
        <w:tab w:val="center" w:pos="4252"/>
        <w:tab w:val="right" w:pos="8504"/>
      </w:tabs>
    </w:pPr>
  </w:style>
  <w:style w:type="character" w:customStyle="1" w:styleId="EncabezadoCar">
    <w:name w:val="Encabezado Car"/>
    <w:basedOn w:val="Fuentedeprrafopredeter"/>
    <w:link w:val="Encabezado"/>
    <w:uiPriority w:val="99"/>
    <w:rsid w:val="009D256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D256E"/>
    <w:pPr>
      <w:tabs>
        <w:tab w:val="center" w:pos="4252"/>
        <w:tab w:val="right" w:pos="8504"/>
      </w:tabs>
    </w:pPr>
  </w:style>
  <w:style w:type="character" w:customStyle="1" w:styleId="PiedepginaCar">
    <w:name w:val="Pie de página Car"/>
    <w:basedOn w:val="Fuentedeprrafopredeter"/>
    <w:link w:val="Piedepgina"/>
    <w:uiPriority w:val="99"/>
    <w:rsid w:val="009D256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0694">
      <w:bodyDiv w:val="1"/>
      <w:marLeft w:val="360"/>
      <w:marRight w:val="360"/>
      <w:marTop w:val="360"/>
      <w:marBottom w:val="360"/>
      <w:divBdr>
        <w:top w:val="none" w:sz="0" w:space="0" w:color="auto"/>
        <w:left w:val="none" w:sz="0" w:space="0" w:color="auto"/>
        <w:bottom w:val="none" w:sz="0" w:space="0" w:color="auto"/>
        <w:right w:val="none" w:sz="0" w:space="0" w:color="auto"/>
      </w:divBdr>
    </w:div>
    <w:div w:id="182525468">
      <w:bodyDiv w:val="1"/>
      <w:marLeft w:val="360"/>
      <w:marRight w:val="360"/>
      <w:marTop w:val="360"/>
      <w:marBottom w:val="360"/>
      <w:divBdr>
        <w:top w:val="none" w:sz="0" w:space="0" w:color="auto"/>
        <w:left w:val="none" w:sz="0" w:space="0" w:color="auto"/>
        <w:bottom w:val="none" w:sz="0" w:space="0" w:color="auto"/>
        <w:right w:val="none" w:sz="0" w:space="0" w:color="auto"/>
      </w:divBdr>
    </w:div>
    <w:div w:id="335574708">
      <w:bodyDiv w:val="1"/>
      <w:marLeft w:val="360"/>
      <w:marRight w:val="360"/>
      <w:marTop w:val="360"/>
      <w:marBottom w:val="360"/>
      <w:divBdr>
        <w:top w:val="none" w:sz="0" w:space="0" w:color="auto"/>
        <w:left w:val="none" w:sz="0" w:space="0" w:color="auto"/>
        <w:bottom w:val="none" w:sz="0" w:space="0" w:color="auto"/>
        <w:right w:val="none" w:sz="0" w:space="0" w:color="auto"/>
      </w:divBdr>
    </w:div>
    <w:div w:id="490297743">
      <w:bodyDiv w:val="1"/>
      <w:marLeft w:val="360"/>
      <w:marRight w:val="360"/>
      <w:marTop w:val="360"/>
      <w:marBottom w:val="360"/>
      <w:divBdr>
        <w:top w:val="none" w:sz="0" w:space="0" w:color="auto"/>
        <w:left w:val="none" w:sz="0" w:space="0" w:color="auto"/>
        <w:bottom w:val="none" w:sz="0" w:space="0" w:color="auto"/>
        <w:right w:val="none" w:sz="0" w:space="0" w:color="auto"/>
      </w:divBdr>
    </w:div>
    <w:div w:id="577207885">
      <w:bodyDiv w:val="1"/>
      <w:marLeft w:val="360"/>
      <w:marRight w:val="360"/>
      <w:marTop w:val="360"/>
      <w:marBottom w:val="360"/>
      <w:divBdr>
        <w:top w:val="none" w:sz="0" w:space="0" w:color="auto"/>
        <w:left w:val="none" w:sz="0" w:space="0" w:color="auto"/>
        <w:bottom w:val="none" w:sz="0" w:space="0" w:color="auto"/>
        <w:right w:val="none" w:sz="0" w:space="0" w:color="auto"/>
      </w:divBdr>
    </w:div>
    <w:div w:id="713769322">
      <w:bodyDiv w:val="1"/>
      <w:marLeft w:val="360"/>
      <w:marRight w:val="360"/>
      <w:marTop w:val="360"/>
      <w:marBottom w:val="360"/>
      <w:divBdr>
        <w:top w:val="none" w:sz="0" w:space="0" w:color="auto"/>
        <w:left w:val="none" w:sz="0" w:space="0" w:color="auto"/>
        <w:bottom w:val="none" w:sz="0" w:space="0" w:color="auto"/>
        <w:right w:val="none" w:sz="0" w:space="0" w:color="auto"/>
      </w:divBdr>
    </w:div>
    <w:div w:id="748845246">
      <w:bodyDiv w:val="1"/>
      <w:marLeft w:val="360"/>
      <w:marRight w:val="360"/>
      <w:marTop w:val="360"/>
      <w:marBottom w:val="360"/>
      <w:divBdr>
        <w:top w:val="none" w:sz="0" w:space="0" w:color="auto"/>
        <w:left w:val="none" w:sz="0" w:space="0" w:color="auto"/>
        <w:bottom w:val="none" w:sz="0" w:space="0" w:color="auto"/>
        <w:right w:val="none" w:sz="0" w:space="0" w:color="auto"/>
      </w:divBdr>
    </w:div>
    <w:div w:id="1196699316">
      <w:bodyDiv w:val="1"/>
      <w:marLeft w:val="360"/>
      <w:marRight w:val="360"/>
      <w:marTop w:val="360"/>
      <w:marBottom w:val="360"/>
      <w:divBdr>
        <w:top w:val="none" w:sz="0" w:space="0" w:color="auto"/>
        <w:left w:val="none" w:sz="0" w:space="0" w:color="auto"/>
        <w:bottom w:val="none" w:sz="0" w:space="0" w:color="auto"/>
        <w:right w:val="none" w:sz="0" w:space="0" w:color="auto"/>
      </w:divBdr>
    </w:div>
    <w:div w:id="1250502144">
      <w:bodyDiv w:val="1"/>
      <w:marLeft w:val="360"/>
      <w:marRight w:val="360"/>
      <w:marTop w:val="360"/>
      <w:marBottom w:val="360"/>
      <w:divBdr>
        <w:top w:val="none" w:sz="0" w:space="0" w:color="auto"/>
        <w:left w:val="none" w:sz="0" w:space="0" w:color="auto"/>
        <w:bottom w:val="none" w:sz="0" w:space="0" w:color="auto"/>
        <w:right w:val="none" w:sz="0" w:space="0" w:color="auto"/>
      </w:divBdr>
    </w:div>
    <w:div w:id="1362392143">
      <w:bodyDiv w:val="1"/>
      <w:marLeft w:val="360"/>
      <w:marRight w:val="360"/>
      <w:marTop w:val="360"/>
      <w:marBottom w:val="360"/>
      <w:divBdr>
        <w:top w:val="none" w:sz="0" w:space="0" w:color="auto"/>
        <w:left w:val="none" w:sz="0" w:space="0" w:color="auto"/>
        <w:bottom w:val="none" w:sz="0" w:space="0" w:color="auto"/>
        <w:right w:val="none" w:sz="0" w:space="0" w:color="auto"/>
      </w:divBdr>
    </w:div>
    <w:div w:id="1935894596">
      <w:bodyDiv w:val="1"/>
      <w:marLeft w:val="360"/>
      <w:marRight w:val="360"/>
      <w:marTop w:val="360"/>
      <w:marBottom w:val="3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Linfocito_CD4%2B" TargetMode="External"/><Relationship Id="rId18" Type="http://schemas.openxmlformats.org/officeDocument/2006/relationships/chart" Target="charts/chart1.xml"/><Relationship Id="rId26" Type="http://schemas.openxmlformats.org/officeDocument/2006/relationships/hyperlink" Target="https://doi.org/10.22379/24224022346" TargetMode="External"/><Relationship Id="rId21" Type="http://schemas.openxmlformats.org/officeDocument/2006/relationships/hyperlink" Target="https://revibiomedica.sld.cu/index.php/ibi/article/download/1645/1112" TargetMode="External"/><Relationship Id="rId34" Type="http://schemas.openxmlformats.org/officeDocument/2006/relationships/hyperlink" Target="https://revistas.unimagdalena.edu.co/index.php/" TargetMode="External"/><Relationship Id="rId7" Type="http://schemas.openxmlformats.org/officeDocument/2006/relationships/endnotes" Target="endnotes.xml"/><Relationship Id="rId12" Type="http://schemas.openxmlformats.org/officeDocument/2006/relationships/hyperlink" Target="http://es.wikipedia.org/wiki/Seropositivo" TargetMode="External"/><Relationship Id="rId17" Type="http://schemas.openxmlformats.org/officeDocument/2006/relationships/hyperlink" Target="http://es.wikipedia.org/wiki/Sangre" TargetMode="External"/><Relationship Id="rId25" Type="http://schemas.openxmlformats.org/officeDocument/2006/relationships/hyperlink" Target="http://scielo.sld.cu/scielo.php?script=sci_arttext&amp;pid=S0034-75232017000200005" TargetMode="External"/><Relationship Id="rId33" Type="http://schemas.openxmlformats.org/officeDocument/2006/relationships/hyperlink" Target="https://10.3389/fmed.2022.75909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Mililitro" TargetMode="External"/><Relationship Id="rId20" Type="http://schemas.openxmlformats.org/officeDocument/2006/relationships/chart" Target="charts/chart3.xml"/><Relationship Id="rId29" Type="http://schemas.openxmlformats.org/officeDocument/2006/relationships/hyperlink" Target="https://repositorio.unican.es/xmlui/bitstream/handle/10902/16482/Fernandez-SetienFernandezMariaCayetana.pdf?sequenc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Persona" TargetMode="External"/><Relationship Id="rId24" Type="http://schemas.openxmlformats.org/officeDocument/2006/relationships/hyperlink" Target="https://medisan.sld.cu/index.php/san/article/view/4373" TargetMode="External"/><Relationship Id="rId32" Type="http://schemas.openxmlformats.org/officeDocument/2006/relationships/hyperlink" Target="https://doi.org/10.31243/ei.uta.v6i5.1459.202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Virus" TargetMode="External"/><Relationship Id="rId23" Type="http://schemas.openxmlformats.org/officeDocument/2006/relationships/hyperlink" Target="https://revunimed.sld.cu/ind%20ex.php/revestud/article/view%20/190" TargetMode="External"/><Relationship Id="rId28" Type="http://schemas.openxmlformats.org/officeDocument/2006/relationships/hyperlink" Target="https://dx.doi.org/10.14710/jekk.v6i1.7351" TargetMode="External"/><Relationship Id="rId36" Type="http://schemas.openxmlformats.org/officeDocument/2006/relationships/header" Target="header1.xml"/><Relationship Id="rId10" Type="http://schemas.openxmlformats.org/officeDocument/2006/relationships/hyperlink" Target="https://orcid.org/0009-0002-1156-0225" TargetMode="External"/><Relationship Id="rId19" Type="http://schemas.openxmlformats.org/officeDocument/2006/relationships/chart" Target="charts/chart2.xml"/><Relationship Id="rId31" Type="http://schemas.openxmlformats.org/officeDocument/2006/relationships/hyperlink" Target="https://doi.org/10.33936/qkrcs.v7i2.5796" TargetMode="External"/><Relationship Id="rId4" Type="http://schemas.openxmlformats.org/officeDocument/2006/relationships/settings" Target="settings.xml"/><Relationship Id="rId9" Type="http://schemas.openxmlformats.org/officeDocument/2006/relationships/hyperlink" Target="https://orcid.org/0000-0003-0991-6376" TargetMode="External"/><Relationship Id="rId14" Type="http://schemas.openxmlformats.org/officeDocument/2006/relationships/hyperlink" Target="http://es.wikipedia.org/wiki/C%C3%A9lula" TargetMode="External"/><Relationship Id="rId22" Type="http://schemas.openxmlformats.org/officeDocument/2006/relationships/hyperlink" Target="https://emedicine.medscape.com/article/1167298-overview" TargetMode="External"/><Relationship Id="rId27" Type="http://schemas.openxmlformats.org/officeDocument/2006/relationships/hyperlink" Target="https://hdl.handle.net/20.500.12737/9890" TargetMode="External"/><Relationship Id="rId30" Type="http://schemas.openxmlformats.org/officeDocument/2006/relationships/hyperlink" Target="https://doi.org/10.31434/rms.v6i10.723" TargetMode="External"/><Relationship Id="rId35" Type="http://schemas.openxmlformats.org/officeDocument/2006/relationships/hyperlink" Target="https://piper.espacio-seram.com/index.php/seram/article/view/253/195" TargetMode="External"/><Relationship Id="rId8" Type="http://schemas.openxmlformats.org/officeDocument/2006/relationships/hyperlink" Target="https://orcid.org/0009-0007-2066-177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Terapia Antirretroviral</c:v>
                </c:pt>
              </c:strCache>
            </c:strRef>
          </c:tx>
          <c:dLbls>
            <c:dLbl>
              <c:idx val="0"/>
              <c:layout>
                <c:manualLayout>
                  <c:x val="-0.20902599010795081"/>
                  <c:y val="-0.15602202355249065"/>
                </c:manualLayout>
              </c:layout>
              <c:tx>
                <c:rich>
                  <a:bodyPr/>
                  <a:lstStyle/>
                  <a:p>
                    <a:r>
                      <a:rPr lang="en-US" sz="1200" b="1">
                        <a:latin typeface="Arial" pitchFamily="34" charset="0"/>
                        <a:cs typeface="Arial" pitchFamily="34" charset="0"/>
                      </a:rPr>
                      <a:t>62,90%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B9-4FD0-9538-CBE7A704FCC9}"/>
                </c:ext>
              </c:extLst>
            </c:dLbl>
            <c:dLbl>
              <c:idx val="1"/>
              <c:layout>
                <c:manualLayout>
                  <c:x val="0.14131754196600263"/>
                  <c:y val="5.8947757266970789E-2"/>
                </c:manualLayout>
              </c:layout>
              <c:tx>
                <c:rich>
                  <a:bodyPr/>
                  <a:lstStyle/>
                  <a:p>
                    <a:r>
                      <a:rPr lang="en-US" sz="1200" b="1">
                        <a:latin typeface="Arial" pitchFamily="34" charset="0"/>
                        <a:cs typeface="Arial" pitchFamily="34" charset="0"/>
                      </a:rPr>
                      <a:t>37,10%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B9-4FD0-9538-CBE7A704FCC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Hoja1!$A$2:$A$3</c:f>
              <c:strCache>
                <c:ptCount val="2"/>
                <c:pt idx="0">
                  <c:v>Sì</c:v>
                </c:pt>
                <c:pt idx="1">
                  <c:v>No</c:v>
                </c:pt>
              </c:strCache>
            </c:strRef>
          </c:cat>
          <c:val>
            <c:numRef>
              <c:f>Hoja1!$B$2:$B$3</c:f>
              <c:numCache>
                <c:formatCode>0.00%</c:formatCode>
                <c:ptCount val="2"/>
                <c:pt idx="0">
                  <c:v>0.629</c:v>
                </c:pt>
                <c:pt idx="1">
                  <c:v>0.371</c:v>
                </c:pt>
              </c:numCache>
            </c:numRef>
          </c:val>
          <c:extLst>
            <c:ext xmlns:c16="http://schemas.microsoft.com/office/drawing/2014/chart" uri="{C3380CC4-5D6E-409C-BE32-E72D297353CC}">
              <c16:uniqueId val="{00000002-22B9-4FD0-9538-CBE7A704FCC9}"/>
            </c:ext>
          </c:extLst>
        </c:ser>
        <c:dLbls>
          <c:showLegendKey val="0"/>
          <c:showVal val="0"/>
          <c:showCatName val="0"/>
          <c:showSerName val="0"/>
          <c:showPercent val="0"/>
          <c:showBubbleSize val="0"/>
          <c:showLeaderLines val="1"/>
        </c:dLbls>
      </c:pie3DChart>
    </c:plotArea>
    <c:legend>
      <c:legendPos val="r"/>
      <c:layout>
        <c:manualLayout>
          <c:xMode val="edge"/>
          <c:yMode val="edge"/>
          <c:x val="0.88904587500260623"/>
          <c:y val="0.4168003880322097"/>
          <c:w val="9.686197654242909E-2"/>
          <c:h val="0.1984869658498073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Pacientes</c:v>
                </c:pt>
              </c:strCache>
            </c:strRef>
          </c:tx>
          <c:invertIfNegative val="0"/>
          <c:cat>
            <c:strRef>
              <c:f>Hoja1!$A$2:$A$5</c:f>
              <c:strCache>
                <c:ptCount val="4"/>
                <c:pt idx="0">
                  <c:v>Menos de 5 años</c:v>
                </c:pt>
                <c:pt idx="1">
                  <c:v>Entre 5 y 10 años</c:v>
                </c:pt>
                <c:pt idx="2">
                  <c:v>Màs de 10 años</c:v>
                </c:pt>
                <c:pt idx="3">
                  <c:v>Total</c:v>
                </c:pt>
              </c:strCache>
            </c:strRef>
          </c:cat>
          <c:val>
            <c:numRef>
              <c:f>Hoja1!$B$2:$B$5</c:f>
              <c:numCache>
                <c:formatCode>General</c:formatCode>
                <c:ptCount val="4"/>
                <c:pt idx="0">
                  <c:v>16</c:v>
                </c:pt>
                <c:pt idx="1">
                  <c:v>32</c:v>
                </c:pt>
                <c:pt idx="2">
                  <c:v>22</c:v>
                </c:pt>
                <c:pt idx="3">
                  <c:v>70</c:v>
                </c:pt>
              </c:numCache>
            </c:numRef>
          </c:val>
          <c:extLst>
            <c:ext xmlns:c16="http://schemas.microsoft.com/office/drawing/2014/chart" uri="{C3380CC4-5D6E-409C-BE32-E72D297353CC}">
              <c16:uniqueId val="{00000000-6F65-4078-8EB7-71A133EC7990}"/>
            </c:ext>
          </c:extLst>
        </c:ser>
        <c:ser>
          <c:idx val="1"/>
          <c:order val="1"/>
          <c:tx>
            <c:strRef>
              <c:f>Hoja1!$C$1</c:f>
              <c:strCache>
                <c:ptCount val="1"/>
                <c:pt idx="0">
                  <c:v>Columna1</c:v>
                </c:pt>
              </c:strCache>
            </c:strRef>
          </c:tx>
          <c:invertIfNegative val="0"/>
          <c:cat>
            <c:strRef>
              <c:f>Hoja1!$A$2:$A$5</c:f>
              <c:strCache>
                <c:ptCount val="4"/>
                <c:pt idx="0">
                  <c:v>Menos de 5 años</c:v>
                </c:pt>
                <c:pt idx="1">
                  <c:v>Entre 5 y 10 años</c:v>
                </c:pt>
                <c:pt idx="2">
                  <c:v>Màs de 10 años</c:v>
                </c:pt>
                <c:pt idx="3">
                  <c:v>Total</c:v>
                </c:pt>
              </c:strCache>
            </c:strRef>
          </c:cat>
          <c:val>
            <c:numRef>
              <c:f>Hoja1!$C$2:$C$5</c:f>
              <c:numCache>
                <c:formatCode>General</c:formatCode>
                <c:ptCount val="4"/>
              </c:numCache>
            </c:numRef>
          </c:val>
          <c:extLst>
            <c:ext xmlns:c16="http://schemas.microsoft.com/office/drawing/2014/chart" uri="{C3380CC4-5D6E-409C-BE32-E72D297353CC}">
              <c16:uniqueId val="{00000001-6F65-4078-8EB7-71A133EC7990}"/>
            </c:ext>
          </c:extLst>
        </c:ser>
        <c:ser>
          <c:idx val="2"/>
          <c:order val="2"/>
          <c:tx>
            <c:strRef>
              <c:f>Hoja1!$D$1</c:f>
              <c:strCache>
                <c:ptCount val="1"/>
                <c:pt idx="0">
                  <c:v>Columna2</c:v>
                </c:pt>
              </c:strCache>
            </c:strRef>
          </c:tx>
          <c:invertIfNegative val="0"/>
          <c:cat>
            <c:strRef>
              <c:f>Hoja1!$A$2:$A$5</c:f>
              <c:strCache>
                <c:ptCount val="4"/>
                <c:pt idx="0">
                  <c:v>Menos de 5 años</c:v>
                </c:pt>
                <c:pt idx="1">
                  <c:v>Entre 5 y 10 años</c:v>
                </c:pt>
                <c:pt idx="2">
                  <c:v>Màs de 10 años</c:v>
                </c:pt>
                <c:pt idx="3">
                  <c:v>Total</c:v>
                </c:pt>
              </c:strCache>
            </c:strRef>
          </c:cat>
          <c:val>
            <c:numRef>
              <c:f>Hoja1!$D$2:$D$5</c:f>
              <c:numCache>
                <c:formatCode>General</c:formatCode>
                <c:ptCount val="4"/>
              </c:numCache>
            </c:numRef>
          </c:val>
          <c:extLst>
            <c:ext xmlns:c16="http://schemas.microsoft.com/office/drawing/2014/chart" uri="{C3380CC4-5D6E-409C-BE32-E72D297353CC}">
              <c16:uniqueId val="{00000002-6F65-4078-8EB7-71A133EC7990}"/>
            </c:ext>
          </c:extLst>
        </c:ser>
        <c:dLbls>
          <c:showLegendKey val="0"/>
          <c:showVal val="0"/>
          <c:showCatName val="0"/>
          <c:showSerName val="0"/>
          <c:showPercent val="0"/>
          <c:showBubbleSize val="0"/>
        </c:dLbls>
        <c:gapWidth val="150"/>
        <c:axId val="232054272"/>
        <c:axId val="232555648"/>
      </c:barChart>
      <c:catAx>
        <c:axId val="232054272"/>
        <c:scaling>
          <c:orientation val="minMax"/>
        </c:scaling>
        <c:delete val="0"/>
        <c:axPos val="b"/>
        <c:numFmt formatCode="General" sourceLinked="0"/>
        <c:majorTickMark val="out"/>
        <c:minorTickMark val="none"/>
        <c:tickLblPos val="nextTo"/>
        <c:crossAx val="232555648"/>
        <c:crosses val="autoZero"/>
        <c:auto val="1"/>
        <c:lblAlgn val="ctr"/>
        <c:lblOffset val="100"/>
        <c:noMultiLvlLbl val="0"/>
      </c:catAx>
      <c:valAx>
        <c:axId val="232555648"/>
        <c:scaling>
          <c:orientation val="minMax"/>
        </c:scaling>
        <c:delete val="0"/>
        <c:axPos val="l"/>
        <c:majorGridlines/>
        <c:numFmt formatCode="General" sourceLinked="1"/>
        <c:majorTickMark val="out"/>
        <c:minorTickMark val="none"/>
        <c:tickLblPos val="nextTo"/>
        <c:crossAx val="232054272"/>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Hoja1!$B$1</c:f>
              <c:strCache>
                <c:ptCount val="1"/>
                <c:pt idx="0">
                  <c:v>Columna3</c:v>
                </c:pt>
              </c:strCache>
            </c:strRef>
          </c:tx>
          <c:invertIfNegative val="0"/>
          <c:cat>
            <c:strRef>
              <c:f>Hoja1!$A$2:$A$9</c:f>
              <c:strCache>
                <c:ptCount val="8"/>
                <c:pt idx="0">
                  <c:v>Defecto motor</c:v>
                </c:pt>
                <c:pt idx="1">
                  <c:v>Toma de consciencia</c:v>
                </c:pt>
                <c:pt idx="2">
                  <c:v>Fiebre</c:v>
                </c:pt>
                <c:pt idx="3">
                  <c:v>Trastorno del lenguaje</c:v>
                </c:pt>
                <c:pt idx="4">
                  <c:v>Desorientaciòn</c:v>
                </c:pt>
                <c:pt idx="5">
                  <c:v>Crisis convulsiva</c:v>
                </c:pt>
                <c:pt idx="6">
                  <c:v>Toma de pares craneales</c:v>
                </c:pt>
                <c:pt idx="7">
                  <c:v>Cefalea</c:v>
                </c:pt>
              </c:strCache>
            </c:strRef>
          </c:cat>
          <c:val>
            <c:numRef>
              <c:f>Hoja1!$B$2:$B$9</c:f>
              <c:numCache>
                <c:formatCode>General</c:formatCode>
                <c:ptCount val="8"/>
                <c:pt idx="0">
                  <c:v>38</c:v>
                </c:pt>
                <c:pt idx="1">
                  <c:v>35</c:v>
                </c:pt>
                <c:pt idx="2">
                  <c:v>24</c:v>
                </c:pt>
                <c:pt idx="3">
                  <c:v>21</c:v>
                </c:pt>
                <c:pt idx="4">
                  <c:v>28</c:v>
                </c:pt>
                <c:pt idx="5">
                  <c:v>24</c:v>
                </c:pt>
                <c:pt idx="6">
                  <c:v>5</c:v>
                </c:pt>
                <c:pt idx="7">
                  <c:v>51</c:v>
                </c:pt>
              </c:numCache>
            </c:numRef>
          </c:val>
          <c:extLst>
            <c:ext xmlns:c16="http://schemas.microsoft.com/office/drawing/2014/chart" uri="{C3380CC4-5D6E-409C-BE32-E72D297353CC}">
              <c16:uniqueId val="{00000000-39E2-460B-9DAE-0400490313D7}"/>
            </c:ext>
          </c:extLst>
        </c:ser>
        <c:ser>
          <c:idx val="1"/>
          <c:order val="1"/>
          <c:tx>
            <c:strRef>
              <c:f>Hoja1!$C$1</c:f>
              <c:strCache>
                <c:ptCount val="1"/>
                <c:pt idx="0">
                  <c:v>Columna1</c:v>
                </c:pt>
              </c:strCache>
            </c:strRef>
          </c:tx>
          <c:invertIfNegative val="0"/>
          <c:cat>
            <c:strRef>
              <c:f>Hoja1!$A$2:$A$9</c:f>
              <c:strCache>
                <c:ptCount val="8"/>
                <c:pt idx="0">
                  <c:v>Defecto motor</c:v>
                </c:pt>
                <c:pt idx="1">
                  <c:v>Toma de consciencia</c:v>
                </c:pt>
                <c:pt idx="2">
                  <c:v>Fiebre</c:v>
                </c:pt>
                <c:pt idx="3">
                  <c:v>Trastorno del lenguaje</c:v>
                </c:pt>
                <c:pt idx="4">
                  <c:v>Desorientaciòn</c:v>
                </c:pt>
                <c:pt idx="5">
                  <c:v>Crisis convulsiva</c:v>
                </c:pt>
                <c:pt idx="6">
                  <c:v>Toma de pares craneales</c:v>
                </c:pt>
                <c:pt idx="7">
                  <c:v>Cefalea</c:v>
                </c:pt>
              </c:strCache>
            </c:strRef>
          </c:cat>
          <c:val>
            <c:numRef>
              <c:f>Hoja1!$C$2:$C$9</c:f>
              <c:numCache>
                <c:formatCode>General</c:formatCode>
                <c:ptCount val="8"/>
              </c:numCache>
            </c:numRef>
          </c:val>
          <c:extLst>
            <c:ext xmlns:c16="http://schemas.microsoft.com/office/drawing/2014/chart" uri="{C3380CC4-5D6E-409C-BE32-E72D297353CC}">
              <c16:uniqueId val="{00000001-39E2-460B-9DAE-0400490313D7}"/>
            </c:ext>
          </c:extLst>
        </c:ser>
        <c:ser>
          <c:idx val="2"/>
          <c:order val="2"/>
          <c:tx>
            <c:strRef>
              <c:f>Hoja1!$D$1</c:f>
              <c:strCache>
                <c:ptCount val="1"/>
                <c:pt idx="0">
                  <c:v>Columna2</c:v>
                </c:pt>
              </c:strCache>
            </c:strRef>
          </c:tx>
          <c:invertIfNegative val="0"/>
          <c:cat>
            <c:strRef>
              <c:f>Hoja1!$A$2:$A$9</c:f>
              <c:strCache>
                <c:ptCount val="8"/>
                <c:pt idx="0">
                  <c:v>Defecto motor</c:v>
                </c:pt>
                <c:pt idx="1">
                  <c:v>Toma de consciencia</c:v>
                </c:pt>
                <c:pt idx="2">
                  <c:v>Fiebre</c:v>
                </c:pt>
                <c:pt idx="3">
                  <c:v>Trastorno del lenguaje</c:v>
                </c:pt>
                <c:pt idx="4">
                  <c:v>Desorientaciòn</c:v>
                </c:pt>
                <c:pt idx="5">
                  <c:v>Crisis convulsiva</c:v>
                </c:pt>
                <c:pt idx="6">
                  <c:v>Toma de pares craneales</c:v>
                </c:pt>
                <c:pt idx="7">
                  <c:v>Cefalea</c:v>
                </c:pt>
              </c:strCache>
            </c:strRef>
          </c:cat>
          <c:val>
            <c:numRef>
              <c:f>Hoja1!$D$2:$D$9</c:f>
              <c:numCache>
                <c:formatCode>General</c:formatCode>
                <c:ptCount val="8"/>
              </c:numCache>
            </c:numRef>
          </c:val>
          <c:extLst>
            <c:ext xmlns:c16="http://schemas.microsoft.com/office/drawing/2014/chart" uri="{C3380CC4-5D6E-409C-BE32-E72D297353CC}">
              <c16:uniqueId val="{00000002-39E2-460B-9DAE-0400490313D7}"/>
            </c:ext>
          </c:extLst>
        </c:ser>
        <c:dLbls>
          <c:showLegendKey val="0"/>
          <c:showVal val="0"/>
          <c:showCatName val="0"/>
          <c:showSerName val="0"/>
          <c:showPercent val="0"/>
          <c:showBubbleSize val="0"/>
        </c:dLbls>
        <c:gapWidth val="150"/>
        <c:axId val="232592384"/>
        <c:axId val="232557376"/>
      </c:barChart>
      <c:catAx>
        <c:axId val="232592384"/>
        <c:scaling>
          <c:orientation val="minMax"/>
        </c:scaling>
        <c:delete val="0"/>
        <c:axPos val="l"/>
        <c:numFmt formatCode="General" sourceLinked="1"/>
        <c:majorTickMark val="out"/>
        <c:minorTickMark val="none"/>
        <c:tickLblPos val="nextTo"/>
        <c:crossAx val="232557376"/>
        <c:crosses val="autoZero"/>
        <c:auto val="1"/>
        <c:lblAlgn val="ctr"/>
        <c:lblOffset val="100"/>
        <c:noMultiLvlLbl val="0"/>
      </c:catAx>
      <c:valAx>
        <c:axId val="232557376"/>
        <c:scaling>
          <c:orientation val="minMax"/>
        </c:scaling>
        <c:delete val="0"/>
        <c:axPos val="b"/>
        <c:majorGridlines/>
        <c:numFmt formatCode="General" sourceLinked="1"/>
        <c:majorTickMark val="out"/>
        <c:minorTickMark val="none"/>
        <c:tickLblPos val="nextTo"/>
        <c:crossAx val="2325923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C497C-23BF-4385-9440-06ECB9F6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3342</Words>
  <Characters>18381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Lisbel</dc:creator>
  <cp:lastModifiedBy>Rafael Arocha Rodríguez</cp:lastModifiedBy>
  <cp:revision>2</cp:revision>
  <dcterms:created xsi:type="dcterms:W3CDTF">2025-03-03T17:14:00Z</dcterms:created>
  <dcterms:modified xsi:type="dcterms:W3CDTF">2025-03-03T17:14:00Z</dcterms:modified>
</cp:coreProperties>
</file>